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1AE489">
      <w:pPr>
        <w:jc w:val="distribute"/>
        <w:rPr>
          <w:rFonts w:ascii="Times New Roman" w:hAnsi="Times New Roman" w:eastAsia="微软雅黑" w:cs="Times New Roman"/>
          <w:b/>
          <w:bCs/>
          <w:color w:val="000000" w:themeColor="text1"/>
          <w:sz w:val="52"/>
          <w:szCs w:val="52"/>
          <w14:textFill>
            <w14:solidFill>
              <w14:schemeClr w14:val="tx1"/>
            </w14:solidFill>
          </w14:textFill>
        </w:rPr>
      </w:pPr>
      <w:bookmarkStart w:id="0" w:name="_Toc3138"/>
      <w:bookmarkStart w:id="1" w:name="_Toc26736"/>
      <w:bookmarkStart w:id="2" w:name="_Toc26191"/>
      <w:r>
        <w:rPr>
          <w:rFonts w:ascii="Times New Roman" w:hAnsi="Times New Roman" w:eastAsia="微软雅黑" w:cs="Times New Roman"/>
          <w:b/>
          <w:bCs/>
          <w:color w:val="000000" w:themeColor="text1"/>
          <w:sz w:val="52"/>
          <w:szCs w:val="52"/>
          <w14:textFill>
            <w14:solidFill>
              <w14:schemeClr w14:val="tx1"/>
            </w14:solidFill>
          </w14:textFill>
        </w:rPr>
        <w:t>中华人民共和国船舶技术法规</w:t>
      </w:r>
    </w:p>
    <w:p w14:paraId="552AE9E7">
      <w:pPr>
        <w:jc w:val="right"/>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MSA 20**年 第**号 公告</w:t>
      </w:r>
    </w:p>
    <w:p w14:paraId="6D52BECE">
      <w:pPr>
        <w:jc w:val="center"/>
        <w:rPr>
          <w:rFonts w:ascii="Times New Roman" w:hAnsi="Times New Roman" w:cs="Times New Roman"/>
          <w:color w:val="000000" w:themeColor="text1"/>
          <w:szCs w:val="32"/>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-36195</wp:posOffset>
                </wp:positionH>
                <wp:positionV relativeFrom="paragraph">
                  <wp:posOffset>3175</wp:posOffset>
                </wp:positionV>
                <wp:extent cx="5400040" cy="635"/>
                <wp:effectExtent l="0" t="0" r="10160" b="18415"/>
                <wp:wrapNone/>
                <wp:docPr id="455"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400040" cy="635"/>
                        </a:xfrm>
                        <a:prstGeom prst="line">
                          <a:avLst/>
                        </a:prstGeom>
                        <a:noFill/>
                        <a:ln w="19050" cmpd="sng">
                          <a:solidFill>
                            <a:srgbClr val="000000"/>
                          </a:solidFill>
                          <a:round/>
                        </a:ln>
                        <a:effectLst/>
                      </wps:spPr>
                      <wps:bodyPr/>
                    </wps:wsp>
                  </a:graphicData>
                </a:graphic>
              </wp:anchor>
            </w:drawing>
          </mc:Choice>
          <mc:Fallback>
            <w:pict>
              <v:line id="直接连接符 2" o:spid="_x0000_s1026" o:spt="20" style="position:absolute;left:0pt;margin-left:-2.85pt;margin-top:0.25pt;height:0.05pt;width:425.2pt;z-index:251660288;mso-width-relative:page;mso-height-relative:page;" filled="f" stroked="t" coordsize="21600,21600" o:gfxdata="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2ow/SAAAABAEAAA8AAAAAAAAAAQAgAAAAIgAAAGRycy9kb3ducmV2LnhtbFBLAQIUABQAAAAI&#10;AIdO4kCgWizA8wEAAMgDAAAOAAAAAAAAAAEAIAAAACEBAABkcnMvZTJvRG9jLnhtbFBLBQYAAAAA&#10;BgAGAFkBAACGBQAAAAA=&#10;">
                <v:fill on="f" focussize="0,0"/>
                <v:stroke weight="1.5pt" color="#000000" joinstyle="round"/>
                <v:imagedata o:title=""/>
                <o:lock v:ext="edit" aspectratio="f"/>
              </v:line>
            </w:pict>
          </mc:Fallback>
        </mc:AlternateContent>
      </w:r>
    </w:p>
    <w:p w14:paraId="6BFC2885">
      <w:pPr>
        <w:jc w:val="center"/>
        <w:rPr>
          <w:rFonts w:ascii="Times New Roman" w:hAnsi="Times New Roman" w:cs="Times New Roman"/>
          <w:color w:val="000000" w:themeColor="text1"/>
          <w:szCs w:val="32"/>
          <w14:textFill>
            <w14:solidFill>
              <w14:schemeClr w14:val="tx1"/>
            </w14:solidFill>
          </w14:textFill>
        </w:rPr>
      </w:pPr>
    </w:p>
    <w:p w14:paraId="34C98D13">
      <w:pPr>
        <w:jc w:val="center"/>
        <w:rPr>
          <w:rFonts w:ascii="Times New Roman" w:hAnsi="Times New Roman" w:cs="Times New Roman"/>
          <w:color w:val="000000" w:themeColor="text1"/>
          <w:szCs w:val="32"/>
          <w14:textFill>
            <w14:solidFill>
              <w14:schemeClr w14:val="tx1"/>
            </w14:solidFill>
          </w14:textFill>
        </w:rPr>
      </w:pPr>
    </w:p>
    <w:p w14:paraId="75476CF8">
      <w:pPr>
        <w:jc w:val="center"/>
        <w:rPr>
          <w:rFonts w:ascii="Times New Roman" w:hAnsi="Times New Roman" w:cs="Times New Roman"/>
          <w:color w:val="000000" w:themeColor="text1"/>
          <w:szCs w:val="32"/>
          <w14:textFill>
            <w14:solidFill>
              <w14:schemeClr w14:val="tx1"/>
            </w14:solidFill>
          </w14:textFill>
        </w:rPr>
      </w:pPr>
    </w:p>
    <w:p w14:paraId="335238A5">
      <w:pPr>
        <w:jc w:val="center"/>
        <w:rPr>
          <w:rFonts w:ascii="Times New Roman" w:hAnsi="Times New Roman" w:cs="Times New Roman"/>
          <w:b/>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drawing>
          <wp:anchor distT="0" distB="0" distL="114300" distR="114300" simplePos="0" relativeHeight="251659264" behindDoc="1" locked="0" layoutInCell="1" allowOverlap="1">
            <wp:simplePos x="0" y="0"/>
            <wp:positionH relativeFrom="margin">
              <wp:posOffset>-543560</wp:posOffset>
            </wp:positionH>
            <wp:positionV relativeFrom="margin">
              <wp:posOffset>1828800</wp:posOffset>
            </wp:positionV>
            <wp:extent cx="5734685" cy="5525770"/>
            <wp:effectExtent l="19050" t="0" r="0" b="0"/>
            <wp:wrapNone/>
            <wp:docPr id="2" name="图片 45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56" descr="图片1"/>
                    <pic:cNvPicPr>
                      <a:picLocks noChangeAspect="1" noChangeArrowheads="1"/>
                    </pic:cNvPicPr>
                  </pic:nvPicPr>
                  <pic:blipFill>
                    <a:blip r:embed="rId8"/>
                    <a:srcRect/>
                    <a:stretch>
                      <a:fillRect/>
                    </a:stretch>
                  </pic:blipFill>
                  <pic:spPr>
                    <a:xfrm>
                      <a:off x="0" y="0"/>
                      <a:ext cx="5734685" cy="5525770"/>
                    </a:xfrm>
                    <a:prstGeom prst="rect">
                      <a:avLst/>
                    </a:prstGeom>
                    <a:noFill/>
                    <a:ln w="9525" cmpd="sng">
                      <a:noFill/>
                      <a:miter lim="800000"/>
                      <a:headEnd/>
                      <a:tailEnd/>
                    </a:ln>
                  </pic:spPr>
                </pic:pic>
              </a:graphicData>
            </a:graphic>
          </wp:anchor>
        </w:drawing>
      </w:r>
    </w:p>
    <w:p w14:paraId="20299217">
      <w:pPr>
        <w:jc w:val="center"/>
        <w:rPr>
          <w:rFonts w:ascii="Times New Roman" w:hAnsi="Times New Roman" w:cs="Times New Roman"/>
          <w:b/>
          <w:color w:val="000000" w:themeColor="text1"/>
          <w:sz w:val="28"/>
          <w14:textFill>
            <w14:solidFill>
              <w14:schemeClr w14:val="tx1"/>
            </w14:solidFill>
          </w14:textFill>
        </w:rPr>
      </w:pPr>
    </w:p>
    <w:p w14:paraId="06EB7160">
      <w:pPr>
        <w:jc w:val="center"/>
        <w:rPr>
          <w:rFonts w:ascii="Times New Roman" w:hAnsi="Times New Roman" w:cs="Times New Roman"/>
          <w:b/>
          <w:color w:val="000000" w:themeColor="text1"/>
          <w:sz w:val="28"/>
          <w14:textFill>
            <w14:solidFill>
              <w14:schemeClr w14:val="tx1"/>
            </w14:solidFill>
          </w14:textFill>
        </w:rPr>
      </w:pPr>
    </w:p>
    <w:p w14:paraId="0A281548">
      <w:pPr>
        <w:spacing w:line="360" w:lineRule="auto"/>
        <w:jc w:val="center"/>
        <w:rPr>
          <w:rFonts w:ascii="Times New Roman" w:hAnsi="Times New Roman" w:eastAsia="黑体" w:cs="Times New Roman"/>
          <w:b/>
          <w:color w:val="000000" w:themeColor="text1"/>
          <w:sz w:val="48"/>
          <w:szCs w:val="48"/>
          <w14:textFill>
            <w14:solidFill>
              <w14:schemeClr w14:val="tx1"/>
            </w14:solidFill>
          </w14:textFill>
        </w:rPr>
      </w:pPr>
      <w:r>
        <w:rPr>
          <w:rFonts w:hint="eastAsia" w:ascii="Times New Roman" w:hAnsi="Times New Roman" w:eastAsia="黑体" w:cs="Times New Roman"/>
          <w:b/>
          <w:color w:val="000000" w:themeColor="text1"/>
          <w:sz w:val="48"/>
          <w:szCs w:val="48"/>
          <w14:textFill>
            <w14:solidFill>
              <w14:schemeClr w14:val="tx1"/>
            </w14:solidFill>
          </w14:textFill>
        </w:rPr>
        <w:t>纯电池动力船舶技术与检验暂行规则</w:t>
      </w:r>
    </w:p>
    <w:p w14:paraId="6C23A542">
      <w:pPr>
        <w:spacing w:line="360" w:lineRule="auto"/>
        <w:jc w:val="center"/>
        <w:rPr>
          <w:rFonts w:ascii="Times New Roman" w:hAnsi="Times New Roman" w:cs="Times New Roman"/>
          <w:b/>
          <w:color w:val="000000" w:themeColor="text1"/>
          <w:sz w:val="24"/>
          <w14:textFill>
            <w14:solidFill>
              <w14:schemeClr w14:val="tx1"/>
            </w14:solidFill>
          </w14:textFill>
        </w:rPr>
      </w:pPr>
    </w:p>
    <w:p w14:paraId="427D8EE6">
      <w:pPr>
        <w:spacing w:line="360" w:lineRule="auto"/>
        <w:jc w:val="center"/>
        <w:rPr>
          <w:rFonts w:ascii="Times New Roman" w:hAnsi="Times New Roman" w:cs="Times New Roman"/>
          <w:b/>
          <w:color w:val="000000" w:themeColor="text1"/>
          <w:sz w:val="36"/>
          <w:szCs w:val="36"/>
          <w14:textFill>
            <w14:solidFill>
              <w14:schemeClr w14:val="tx1"/>
            </w14:solidFill>
          </w14:textFill>
        </w:rPr>
      </w:pPr>
      <w:r>
        <w:rPr>
          <w:rFonts w:ascii="Times New Roman" w:hAnsi="Times New Roman" w:cs="Times New Roman"/>
          <w:b/>
          <w:color w:val="000000" w:themeColor="text1"/>
          <w:sz w:val="36"/>
          <w:szCs w:val="36"/>
          <w14:textFill>
            <w14:solidFill>
              <w14:schemeClr w14:val="tx1"/>
            </w14:solidFill>
          </w14:textFill>
        </w:rPr>
        <w:t>202</w:t>
      </w:r>
      <w:r>
        <w:rPr>
          <w:rFonts w:hint="eastAsia" w:ascii="Times New Roman" w:hAnsi="Times New Roman" w:cs="Times New Roman"/>
          <w:b/>
          <w:color w:val="000000" w:themeColor="text1"/>
          <w:sz w:val="36"/>
          <w:szCs w:val="36"/>
          <w14:textFill>
            <w14:solidFill>
              <w14:schemeClr w14:val="tx1"/>
            </w14:solidFill>
          </w14:textFill>
        </w:rPr>
        <w:t>4</w:t>
      </w:r>
    </w:p>
    <w:p w14:paraId="7C7E008D">
      <w:pPr>
        <w:jc w:val="center"/>
        <w:rPr>
          <w:rFonts w:ascii="Times New Roman" w:hAnsi="Times New Roman" w:cs="Times New Roman"/>
          <w:b/>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w:t>
      </w:r>
      <w:r>
        <w:rPr>
          <w:rFonts w:hint="eastAsia" w:ascii="Times New Roman" w:hAnsi="Times New Roman" w:cs="Times New Roman"/>
          <w:b/>
          <w:color w:val="000000" w:themeColor="text1"/>
          <w:sz w:val="28"/>
          <w14:textFill>
            <w14:solidFill>
              <w14:schemeClr w14:val="tx1"/>
            </w14:solidFill>
          </w14:textFill>
        </w:rPr>
        <w:t>征求意见稿</w:t>
      </w:r>
      <w:r>
        <w:rPr>
          <w:rFonts w:ascii="Times New Roman" w:hAnsi="Times New Roman" w:cs="Times New Roman"/>
          <w:b/>
          <w:color w:val="000000" w:themeColor="text1"/>
          <w:sz w:val="28"/>
          <w14:textFill>
            <w14:solidFill>
              <w14:schemeClr w14:val="tx1"/>
            </w14:solidFill>
          </w14:textFill>
        </w:rPr>
        <w:t>）</w:t>
      </w:r>
    </w:p>
    <w:p w14:paraId="55F1286A">
      <w:pPr>
        <w:jc w:val="center"/>
        <w:rPr>
          <w:rFonts w:ascii="Times New Roman" w:hAnsi="Times New Roman" w:cs="Times New Roman"/>
          <w:b/>
          <w:color w:val="000000" w:themeColor="text1"/>
          <w:sz w:val="28"/>
          <w14:textFill>
            <w14:solidFill>
              <w14:schemeClr w14:val="tx1"/>
            </w14:solidFill>
          </w14:textFill>
        </w:rPr>
      </w:pPr>
    </w:p>
    <w:p w14:paraId="0E51F35A">
      <w:pPr>
        <w:jc w:val="center"/>
        <w:rPr>
          <w:rFonts w:ascii="Times New Roman" w:hAnsi="Times New Roman" w:cs="Times New Roman"/>
          <w:b/>
          <w:color w:val="000000" w:themeColor="text1"/>
          <w:sz w:val="28"/>
          <w14:textFill>
            <w14:solidFill>
              <w14:schemeClr w14:val="tx1"/>
            </w14:solidFill>
          </w14:textFill>
        </w:rPr>
      </w:pPr>
    </w:p>
    <w:p w14:paraId="1715BA9D">
      <w:pPr>
        <w:jc w:val="center"/>
        <w:rPr>
          <w:rFonts w:ascii="Times New Roman" w:hAnsi="Times New Roman" w:cs="Times New Roman"/>
          <w:b/>
          <w:color w:val="000000" w:themeColor="text1"/>
          <w:sz w:val="28"/>
          <w14:textFill>
            <w14:solidFill>
              <w14:schemeClr w14:val="tx1"/>
            </w14:solidFill>
          </w14:textFill>
        </w:rPr>
      </w:pPr>
    </w:p>
    <w:p w14:paraId="0794E457">
      <w:pPr>
        <w:jc w:val="center"/>
        <w:rPr>
          <w:rFonts w:ascii="Times New Roman" w:hAnsi="Times New Roman" w:cs="Times New Roman"/>
          <w:b/>
          <w:color w:val="000000" w:themeColor="text1"/>
          <w:sz w:val="28"/>
          <w14:textFill>
            <w14:solidFill>
              <w14:schemeClr w14:val="tx1"/>
            </w14:solidFill>
          </w14:textFill>
        </w:rPr>
      </w:pPr>
    </w:p>
    <w:p w14:paraId="2FC07003">
      <w:pPr>
        <w:jc w:val="center"/>
        <w:rPr>
          <w:rFonts w:ascii="Times New Roman" w:hAnsi="Times New Roman" w:cs="Times New Roman"/>
          <w:b/>
          <w:color w:val="000000" w:themeColor="text1"/>
          <w:sz w:val="28"/>
          <w14:textFill>
            <w14:solidFill>
              <w14:schemeClr w14:val="tx1"/>
            </w14:solidFill>
          </w14:textFill>
        </w:rPr>
      </w:pPr>
    </w:p>
    <w:p w14:paraId="2B9AE923">
      <w:pPr>
        <w:jc w:val="center"/>
        <w:rPr>
          <w:rFonts w:ascii="Times New Roman" w:hAnsi="Times New Roman" w:cs="Times New Roman"/>
          <w:b/>
          <w:color w:val="000000" w:themeColor="text1"/>
          <w:sz w:val="28"/>
          <w14:textFill>
            <w14:solidFill>
              <w14:schemeClr w14:val="tx1"/>
            </w14:solidFill>
          </w14:textFill>
        </w:rPr>
      </w:pPr>
    </w:p>
    <w:p w14:paraId="78EBC038">
      <w:pPr>
        <w:rPr>
          <w:rFonts w:ascii="Times New Roman" w:hAnsi="Times New Roman" w:cs="Times New Roman"/>
          <w:color w:val="000000" w:themeColor="text1"/>
          <w14:textFill>
            <w14:solidFill>
              <w14:schemeClr w14:val="tx1"/>
            </w14:solidFill>
          </w14:textFill>
        </w:rPr>
      </w:pPr>
    </w:p>
    <w:p w14:paraId="5645D300">
      <w:pPr>
        <w:rPr>
          <w:rFonts w:ascii="Times New Roman" w:hAnsi="Times New Roman" w:cs="Times New Roman"/>
          <w:color w:val="000000" w:themeColor="text1"/>
          <w14:textFill>
            <w14:solidFill>
              <w14:schemeClr w14:val="tx1"/>
            </w14:solidFill>
          </w14:textFill>
        </w:rPr>
      </w:pPr>
    </w:p>
    <w:bookmarkEnd w:id="0"/>
    <w:bookmarkEnd w:id="1"/>
    <w:bookmarkEnd w:id="2"/>
    <w:p w14:paraId="70DE1037">
      <w:pPr>
        <w:rPr>
          <w:rFonts w:ascii="Times New Roman" w:hAnsi="Times New Roman" w:cs="Times New Roman"/>
          <w:color w:val="000000" w:themeColor="text1"/>
          <w14:textFill>
            <w14:solidFill>
              <w14:schemeClr w14:val="tx1"/>
            </w14:solidFill>
          </w14:textFill>
        </w:rPr>
      </w:pPr>
      <w:bookmarkStart w:id="3" w:name="_Toc70669353"/>
      <w:bookmarkStart w:id="4" w:name="_Toc56411778"/>
      <w:bookmarkStart w:id="5" w:name="_Toc57359394"/>
      <w:bookmarkStart w:id="6" w:name="_Toc73024024"/>
      <w:bookmarkStart w:id="7" w:name="_Toc80882592"/>
    </w:p>
    <w:p w14:paraId="5F5B2AED">
      <w:pPr>
        <w:rPr>
          <w:rFonts w:ascii="Times New Roman" w:hAnsi="Times New Roman" w:cs="Times New Roman"/>
          <w:color w:val="000000" w:themeColor="text1"/>
          <w14:textFill>
            <w14:solidFill>
              <w14:schemeClr w14:val="tx1"/>
            </w14:solidFill>
          </w14:textFill>
        </w:rPr>
      </w:pPr>
    </w:p>
    <w:bookmarkEnd w:id="3"/>
    <w:bookmarkEnd w:id="4"/>
    <w:bookmarkEnd w:id="5"/>
    <w:bookmarkEnd w:id="6"/>
    <w:bookmarkEnd w:id="7"/>
    <w:p w14:paraId="6137D3C4">
      <w:pPr>
        <w:adjustRightInd w:val="0"/>
        <w:snapToGrid w:val="0"/>
        <w:spacing w:line="460" w:lineRule="exact"/>
        <w:jc w:val="center"/>
        <w:rPr>
          <w:rFonts w:ascii="Times New Roman" w:hAnsi="Times New Roman" w:cs="Times New Roman"/>
          <w:color w:val="000000" w:themeColor="text1"/>
          <w14:textFill>
            <w14:solidFill>
              <w14:schemeClr w14:val="tx1"/>
            </w14:solidFill>
          </w14:textFill>
        </w:rPr>
        <w:sectPr>
          <w:footerReference r:id="rId4" w:type="even"/>
          <w:footnotePr>
            <w:numFmt w:val="decimalEnclosedCircleChinese"/>
            <w:numRestart w:val="eachPage"/>
          </w:footnotePr>
          <w:pgSz w:w="11906" w:h="16838"/>
          <w:pgMar w:top="1440" w:right="1800" w:bottom="1440" w:left="1800" w:header="851" w:footer="992" w:gutter="0"/>
          <w:cols w:space="720" w:num="1"/>
          <w:docGrid w:type="lines" w:linePitch="312" w:charSpace="0"/>
        </w:sectPr>
      </w:pPr>
    </w:p>
    <w:p w14:paraId="53ACF759">
      <w:pPr>
        <w:pStyle w:val="11"/>
        <w:jc w:val="center"/>
        <w:rPr>
          <w:rFonts w:eastAsia="黑体"/>
          <w:b/>
          <w:color w:val="000000" w:themeColor="text1"/>
          <w:sz w:val="32"/>
          <w:szCs w:val="32"/>
          <w14:textFill>
            <w14:solidFill>
              <w14:schemeClr w14:val="tx1"/>
            </w14:solidFill>
          </w14:textFill>
        </w:rPr>
      </w:pPr>
      <w:bookmarkStart w:id="8" w:name="_Toc961"/>
      <w:bookmarkStart w:id="9" w:name="_Toc56411779"/>
      <w:bookmarkStart w:id="10" w:name="_Toc135385384"/>
      <w:bookmarkStart w:id="11" w:name="_Toc143617660"/>
      <w:bookmarkStart w:id="12" w:name="_Toc48553354"/>
      <w:bookmarkStart w:id="13" w:name="_Toc57359395"/>
      <w:bookmarkStart w:id="14" w:name="_Toc83712041"/>
      <w:bookmarkStart w:id="15" w:name="_Toc139469095"/>
      <w:bookmarkStart w:id="16" w:name="_Toc137666650"/>
      <w:bookmarkStart w:id="17" w:name="_Toc134172308"/>
      <w:bookmarkStart w:id="18" w:name="_Toc48640645"/>
      <w:bookmarkStart w:id="19" w:name="_Toc70669354"/>
      <w:bookmarkStart w:id="20" w:name="_Toc96847961"/>
      <w:bookmarkStart w:id="21" w:name="_Toc133572281"/>
      <w:bookmarkStart w:id="22" w:name="_Toc48553242"/>
      <w:bookmarkStart w:id="23" w:name="_Toc96163571"/>
      <w:bookmarkStart w:id="24" w:name="_Toc144327188"/>
      <w:bookmarkStart w:id="25" w:name="_Toc48129051"/>
      <w:bookmarkStart w:id="26" w:name="_Toc73024025"/>
      <w:bookmarkStart w:id="27" w:name="_Toc144327240"/>
      <w:bookmarkStart w:id="28" w:name="_Toc80882593"/>
      <w:bookmarkStart w:id="29" w:name="_Toc139550975"/>
      <w:r>
        <w:rPr>
          <w:rFonts w:hint="eastAsia" w:eastAsia="黑体"/>
          <w:b/>
          <w:color w:val="000000" w:themeColor="text1"/>
          <w:sz w:val="32"/>
          <w:szCs w:val="32"/>
          <w14:textFill>
            <w14:solidFill>
              <w14:schemeClr w14:val="tx1"/>
            </w14:solidFill>
          </w14:textFill>
        </w:rPr>
        <w:t>简要</w:t>
      </w:r>
      <w:r>
        <w:rPr>
          <w:rFonts w:eastAsia="黑体"/>
          <w:b/>
          <w:color w:val="000000" w:themeColor="text1"/>
          <w:sz w:val="32"/>
          <w:szCs w:val="32"/>
          <w14:textFill>
            <w14:solidFill>
              <w14:schemeClr w14:val="tx1"/>
            </w14:solidFill>
          </w14:textFill>
        </w:rPr>
        <w:t>编写说明</w:t>
      </w:r>
      <w:bookmarkEnd w:id="8"/>
    </w:p>
    <w:p w14:paraId="1FECD79C">
      <w:pPr>
        <w:spacing w:line="360" w:lineRule="auto"/>
        <w:ind w:firstLine="422" w:firstLineChars="200"/>
        <w:jc w:val="left"/>
        <w:rPr>
          <w:rFonts w:hint="eastAsia" w:ascii="宋体" w:hAnsi="宋体" w:eastAsia="宋体" w:cs="宋体"/>
          <w:b/>
          <w:bCs/>
          <w:szCs w:val="21"/>
        </w:rPr>
      </w:pPr>
      <w:r>
        <w:rPr>
          <w:rFonts w:hint="eastAsia" w:ascii="宋体" w:hAnsi="宋体" w:eastAsia="宋体" w:cs="宋体"/>
          <w:b/>
          <w:bCs/>
          <w:szCs w:val="21"/>
        </w:rPr>
        <w:t>第1章 通则</w:t>
      </w:r>
    </w:p>
    <w:p w14:paraId="620A1156">
      <w:pPr>
        <w:spacing w:line="360" w:lineRule="auto"/>
        <w:ind w:firstLine="420"/>
        <w:jc w:val="left"/>
        <w:rPr>
          <w:rFonts w:hint="eastAsia" w:ascii="黑体" w:hAnsi="黑体" w:eastAsia="黑体" w:cs="黑体"/>
          <w:szCs w:val="21"/>
        </w:rPr>
      </w:pPr>
      <w:r>
        <w:rPr>
          <w:rFonts w:hint="eastAsia" w:ascii="宋体" w:hAnsi="宋体" w:eastAsia="宋体" w:cs="宋体"/>
          <w:b/>
          <w:bCs/>
          <w:szCs w:val="21"/>
        </w:rPr>
        <w:t>1、适用范围：</w:t>
      </w:r>
    </w:p>
    <w:p w14:paraId="1400C6A6">
      <w:pPr>
        <w:spacing w:line="360" w:lineRule="auto"/>
        <w:ind w:firstLine="420"/>
        <w:jc w:val="left"/>
        <w:rPr>
          <w:color w:val="000000" w:themeColor="text1"/>
          <w14:textFill>
            <w14:solidFill>
              <w14:schemeClr w14:val="tx1"/>
            </w14:solidFill>
          </w14:textFill>
        </w:rPr>
      </w:pPr>
      <w:r>
        <w:rPr>
          <w:rFonts w:hint="eastAsia" w:ascii="Times New Roman" w:hAnsi="Times New Roman" w:eastAsia="宋体" w:cs="Times New Roman"/>
          <w:szCs w:val="21"/>
        </w:rPr>
        <w:t>（1）</w:t>
      </w:r>
      <w:r>
        <w:rPr>
          <w:color w:val="000000" w:themeColor="text1"/>
          <w14:textFill>
            <w14:solidFill>
              <w14:schemeClr w14:val="tx1"/>
            </w14:solidFill>
          </w14:textFill>
        </w:rPr>
        <w:t>适用于船长大于等于5m的仅采用蓄电池作为推进动力源和主电源船舶</w:t>
      </w:r>
      <w:r>
        <w:rPr>
          <w:rFonts w:hint="eastAsia"/>
          <w:color w:val="000000" w:themeColor="text1"/>
          <w14:textFill>
            <w14:solidFill>
              <w14:schemeClr w14:val="tx1"/>
            </w14:solidFill>
          </w14:textFill>
        </w:rPr>
        <w:t>，包括海船、河船等；</w:t>
      </w:r>
    </w:p>
    <w:p w14:paraId="689C89F0">
      <w:pPr>
        <w:spacing w:line="360" w:lineRule="auto"/>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（2）适用于锂离子蓄电池和能量型超级电容器，且锂离子蓄电池仅限于磷酸铁锂电池（磷酸铁锂软包电池除外）；</w:t>
      </w:r>
    </w:p>
    <w:p w14:paraId="16E4F979">
      <w:pPr>
        <w:spacing w:line="360" w:lineRule="auto"/>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不适用于军用舰艇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体育运动船艇</w:t>
      </w:r>
      <w:r>
        <w:rPr>
          <w:rFonts w:hint="eastAsia"/>
          <w:color w:val="000000" w:themeColor="text1"/>
          <w14:textFill>
            <w14:solidFill>
              <w14:schemeClr w14:val="tx1"/>
            </w14:solidFill>
          </w14:textFill>
        </w:rPr>
        <w:t>。</w:t>
      </w:r>
    </w:p>
    <w:p w14:paraId="332A56DE">
      <w:pPr>
        <w:spacing w:line="360" w:lineRule="auto"/>
        <w:ind w:firstLine="420"/>
        <w:jc w:val="left"/>
        <w:rPr>
          <w:snapToGrid w:val="0"/>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2、船舶建造材料：</w:t>
      </w:r>
      <w:r>
        <w:rPr>
          <w:color w:val="000000" w:themeColor="text1"/>
          <w14:textFill>
            <w14:solidFill>
              <w14:schemeClr w14:val="tx1"/>
            </w14:solidFill>
          </w14:textFill>
        </w:rPr>
        <w:t>适用于</w:t>
      </w:r>
      <w:r>
        <w:rPr>
          <w:rFonts w:hint="eastAsia"/>
          <w:snapToGrid w:val="0"/>
          <w:color w:val="000000" w:themeColor="text1"/>
          <w14:textFill>
            <w14:solidFill>
              <w14:schemeClr w14:val="tx1"/>
            </w14:solidFill>
          </w14:textFill>
        </w:rPr>
        <w:t>钢质船舶、铝合金船舶和船长小于20m的纤维增强塑料船舶。</w:t>
      </w:r>
    </w:p>
    <w:p w14:paraId="2A2260E7">
      <w:pPr>
        <w:spacing w:line="360" w:lineRule="auto"/>
        <w:ind w:firstLine="420"/>
        <w:jc w:val="left"/>
      </w:pPr>
      <w:r>
        <w:rPr>
          <w:rFonts w:hint="eastAsia" w:ascii="宋体" w:hAnsi="宋体" w:eastAsia="宋体" w:cs="宋体"/>
          <w:b/>
          <w:bCs/>
          <w:snapToGrid w:val="0"/>
          <w:color w:val="000000" w:themeColor="text1"/>
          <w14:textFill>
            <w14:solidFill>
              <w14:schemeClr w14:val="tx1"/>
            </w14:solidFill>
          </w14:textFill>
        </w:rPr>
        <w:t>3、施行应用：</w:t>
      </w:r>
      <w:r>
        <w:rPr>
          <w:rFonts w:hint="eastAsia"/>
          <w:snapToGrid w:val="0"/>
          <w:color w:val="000000" w:themeColor="text1"/>
          <w14:textFill>
            <w14:solidFill>
              <w14:schemeClr w14:val="tx1"/>
            </w14:solidFill>
          </w14:textFill>
        </w:rPr>
        <w:t>本规则为纯电池动力船舶的补充要求，</w:t>
      </w:r>
      <w:r>
        <w:rPr>
          <w:rFonts w:hint="eastAsia"/>
          <w:color w:val="000000" w:themeColor="text1"/>
          <w14:textFill>
            <w14:solidFill>
              <w14:schemeClr w14:val="tx1"/>
            </w14:solidFill>
          </w14:textFill>
        </w:rPr>
        <w:t>纯</w:t>
      </w:r>
      <w:r>
        <w:rPr>
          <w:color w:val="000000" w:themeColor="text1"/>
          <w14:textFill>
            <w14:solidFill>
              <w14:schemeClr w14:val="tx1"/>
            </w14:solidFill>
          </w14:textFill>
        </w:rPr>
        <w:t>电池</w:t>
      </w:r>
      <w:r>
        <w:rPr>
          <w:rFonts w:hint="eastAsia"/>
          <w:color w:val="000000" w:themeColor="text1"/>
          <w14:textFill>
            <w14:solidFill>
              <w14:schemeClr w14:val="tx1"/>
            </w14:solidFill>
          </w14:textFill>
        </w:rPr>
        <w:t>动力船舶尚应满足对船舶航行水域适用的规则的有关要求。</w:t>
      </w:r>
      <w:r>
        <w:rPr>
          <w:rFonts w:hint="eastAsia"/>
        </w:rPr>
        <w:t>本规则施行后</w:t>
      </w:r>
      <w:r>
        <w:t>，替代</w:t>
      </w:r>
      <w:r>
        <w:rPr>
          <w:rFonts w:hint="eastAsia"/>
          <w:color w:val="000000" w:themeColor="text1"/>
          <w14:textFill>
            <w14:solidFill>
              <w14:schemeClr w14:val="tx1"/>
            </w14:solidFill>
          </w14:textFill>
        </w:rPr>
        <w:t>对船舶航行水域适用的相关规则</w:t>
      </w:r>
      <w:r>
        <w:t>中涉及</w:t>
      </w:r>
      <w:r>
        <w:rPr>
          <w:rFonts w:hint="eastAsia"/>
        </w:rPr>
        <w:t>磷酸铁锂</w:t>
      </w:r>
      <w:r>
        <w:t>电池的相关要求</w:t>
      </w:r>
      <w:r>
        <w:rPr>
          <w:rFonts w:hint="eastAsia"/>
        </w:rPr>
        <w:t>。</w:t>
      </w:r>
    </w:p>
    <w:p w14:paraId="69A252DC">
      <w:pPr>
        <w:spacing w:line="360" w:lineRule="auto"/>
        <w:ind w:firstLine="420"/>
        <w:jc w:val="left"/>
      </w:pPr>
      <w:r>
        <w:rPr>
          <w:rFonts w:hint="eastAsia" w:ascii="宋体" w:hAnsi="宋体" w:eastAsia="宋体" w:cs="宋体"/>
          <w:b/>
        </w:rPr>
        <w:t>4、</w:t>
      </w:r>
      <w:r>
        <w:rPr>
          <w:rFonts w:hint="eastAsia" w:ascii="宋体" w:hAnsi="宋体" w:eastAsia="宋体" w:cs="宋体"/>
          <w:b/>
          <w:bCs/>
          <w:snapToGrid w:val="0"/>
          <w:color w:val="000000" w:themeColor="text1"/>
          <w14:textFill>
            <w14:solidFill>
              <w14:schemeClr w14:val="tx1"/>
            </w14:solidFill>
          </w14:textFill>
        </w:rPr>
        <w:t>重大</w:t>
      </w:r>
      <w:r>
        <w:rPr>
          <w:rFonts w:hint="eastAsia" w:ascii="宋体" w:hAnsi="宋体" w:eastAsia="宋体" w:cs="宋体"/>
          <w:b/>
        </w:rPr>
        <w:t>改建：</w:t>
      </w:r>
    </w:p>
    <w:p w14:paraId="5C4B3557">
      <w:pPr>
        <w:spacing w:line="360" w:lineRule="auto"/>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现有纯电池动力船舶存在下列情况之一的，视为重大改建：</w:t>
      </w:r>
    </w:p>
    <w:p w14:paraId="3DBA6FF9">
      <w:pPr>
        <w:spacing w:line="360" w:lineRule="auto"/>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（1）电池系统</w:t>
      </w:r>
      <w:r>
        <w:rPr>
          <w:rFonts w:hint="eastAsia"/>
          <w:color w:val="000000" w:themeColor="text1"/>
          <w:kern w:val="0"/>
          <w14:textFill>
            <w14:solidFill>
              <w14:schemeClr w14:val="tx1"/>
            </w14:solidFill>
          </w14:textFill>
        </w:rPr>
        <w:t>（箱式电源除外）</w:t>
      </w:r>
      <w:r>
        <w:rPr>
          <w:rFonts w:hint="eastAsia"/>
          <w:color w:val="000000" w:themeColor="text1"/>
          <w14:textFill>
            <w14:solidFill>
              <w14:schemeClr w14:val="tx1"/>
            </w14:solidFill>
          </w14:textFill>
        </w:rPr>
        <w:t>总电量变化超过10%或电池簇数量发生变化；</w:t>
      </w:r>
    </w:p>
    <w:p w14:paraId="06673B62">
      <w:pPr>
        <w:spacing w:line="360" w:lineRule="auto"/>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（2）箱式电源单箱电量变化超过</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或箱内电池簇数量发生变化；</w:t>
      </w:r>
    </w:p>
    <w:p w14:paraId="6C5AF396">
      <w:pPr>
        <w:spacing w:line="360" w:lineRule="auto"/>
        <w:ind w:firstLine="420"/>
        <w:jc w:val="left"/>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3</w:t>
      </w:r>
      <w:r>
        <w:rPr>
          <w:rFonts w:hint="eastAsia"/>
          <w:color w:val="000000" w:themeColor="text1"/>
          <w:kern w:val="0"/>
          <w14:textFill>
            <w14:solidFill>
              <w14:schemeClr w14:val="tx1"/>
            </w14:solidFill>
          </w14:textFill>
        </w:rPr>
        <w:t>）</w:t>
      </w:r>
      <w:r>
        <w:rPr>
          <w:rFonts w:hint="eastAsia"/>
          <w:color w:val="000000" w:themeColor="text1"/>
          <w14:textFill>
            <w14:solidFill>
              <w14:schemeClr w14:val="tx1"/>
            </w14:solidFill>
          </w14:textFill>
        </w:rPr>
        <w:t>箱式电源</w:t>
      </w:r>
      <w:r>
        <w:rPr>
          <w:rFonts w:hint="eastAsia"/>
          <w:color w:val="000000" w:themeColor="text1"/>
          <w:kern w:val="0"/>
          <w14:textFill>
            <w14:solidFill>
              <w14:schemeClr w14:val="tx1"/>
            </w14:solidFill>
          </w14:textFill>
        </w:rPr>
        <w:t>最大设计</w:t>
      </w:r>
      <w:r>
        <w:rPr>
          <w:rFonts w:hint="eastAsia"/>
          <w:color w:val="000000" w:themeColor="text1"/>
          <w14:textFill>
            <w14:solidFill>
              <w14:schemeClr w14:val="tx1"/>
            </w14:solidFill>
          </w14:textFill>
        </w:rPr>
        <w:t>数量发生变化。</w:t>
      </w:r>
    </w:p>
    <w:p w14:paraId="28D03B05">
      <w:pPr>
        <w:pStyle w:val="53"/>
        <w:adjustRightInd/>
        <w:snapToGrid/>
        <w:ind w:left="0" w:firstLine="422" w:firstLineChars="200"/>
        <w:rPr>
          <w:color w:val="000000" w:themeColor="text1"/>
          <w14:textFill>
            <w14:solidFill>
              <w14:schemeClr w14:val="tx1"/>
            </w14:solidFill>
          </w14:textFill>
        </w:rPr>
      </w:pPr>
      <w:r>
        <w:rPr>
          <w:rFonts w:hint="eastAsia" w:ascii="宋体" w:hAnsi="宋体" w:cs="宋体"/>
          <w:b/>
          <w:bCs w:val="0"/>
          <w:color w:val="000000" w:themeColor="text1"/>
          <w14:textFill>
            <w14:solidFill>
              <w14:schemeClr w14:val="tx1"/>
            </w14:solidFill>
          </w14:textFill>
        </w:rPr>
        <w:t>5、风险评估：</w:t>
      </w:r>
      <w:r>
        <w:rPr>
          <w:rFonts w:hint="eastAsia"/>
          <w:color w:val="000000" w:themeColor="text1"/>
          <w14:textFill>
            <w14:solidFill>
              <w14:schemeClr w14:val="tx1"/>
            </w14:solidFill>
          </w14:textFill>
        </w:rPr>
        <w:t>应对船舶应用电池作为动力而带来的所有潜在风险（包括但不限于电池系统、配电系统和推进系统）进行风险评估，必要时应提出风险缓解措施。</w:t>
      </w:r>
    </w:p>
    <w:p w14:paraId="5D3CD78E">
      <w:pPr>
        <w:pStyle w:val="53"/>
        <w:adjustRightInd/>
        <w:snapToGrid/>
        <w:ind w:left="0" w:firstLine="0"/>
        <w:rPr>
          <w:color w:val="000000" w:themeColor="text1"/>
          <w14:textFill>
            <w14:solidFill>
              <w14:schemeClr w14:val="tx1"/>
            </w14:solidFill>
          </w14:textFill>
        </w:rPr>
      </w:pPr>
    </w:p>
    <w:p w14:paraId="19B7E32E">
      <w:pPr>
        <w:pStyle w:val="53"/>
        <w:numPr>
          <w:ilvl w:val="0"/>
          <w:numId w:val="6"/>
        </w:numPr>
        <w:adjustRightInd/>
        <w:snapToGrid/>
        <w:ind w:left="0" w:firstLine="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检验与发证</w:t>
      </w:r>
    </w:p>
    <w:p w14:paraId="0E2E8AD4">
      <w:pPr>
        <w:pStyle w:val="53"/>
        <w:numPr>
          <w:ilvl w:val="0"/>
          <w:numId w:val="7"/>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检验规定：</w:t>
      </w:r>
      <w:r>
        <w:rPr>
          <w:rFonts w:hint="eastAsia"/>
          <w:color w:val="000000" w:themeColor="text1"/>
          <w14:textFill>
            <w14:solidFill>
              <w14:schemeClr w14:val="tx1"/>
            </w14:solidFill>
          </w14:textFill>
        </w:rPr>
        <w:t>除本规则明确规定者外，纯电池动力船舶尚应满足对船舶航行水域适用的规则中各种船舶类型的检验规定（含各类检验间隔期）。</w:t>
      </w:r>
    </w:p>
    <w:p w14:paraId="43AB9456">
      <w:pPr>
        <w:pStyle w:val="53"/>
        <w:numPr>
          <w:ilvl w:val="0"/>
          <w:numId w:val="7"/>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检验项目：</w:t>
      </w:r>
      <w:r>
        <w:rPr>
          <w:rFonts w:hint="eastAsia"/>
          <w:color w:val="000000" w:themeColor="text1"/>
          <w14:textFill>
            <w14:solidFill>
              <w14:schemeClr w14:val="tx1"/>
            </w14:solidFill>
          </w14:textFill>
        </w:rPr>
        <w:t>提交审批的图纸资料清单、建造现场检验项目、定期检验项目和临时检验项目。</w:t>
      </w:r>
    </w:p>
    <w:p w14:paraId="3A1A8FC0">
      <w:pPr>
        <w:pStyle w:val="53"/>
        <w:numPr>
          <w:ilvl w:val="0"/>
          <w:numId w:val="7"/>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证书签发：</w:t>
      </w:r>
      <w:r>
        <w:rPr>
          <w:rFonts w:hint="eastAsia"/>
          <w:color w:val="000000" w:themeColor="text1"/>
          <w14:textFill>
            <w14:solidFill>
              <w14:schemeClr w14:val="tx1"/>
            </w14:solidFill>
          </w14:textFill>
        </w:rPr>
        <w:t>纯电池动力船舶需要连同船舶安全与环保证书一道，签发或签署的《纯电池动力船舶附页》。</w:t>
      </w:r>
    </w:p>
    <w:p w14:paraId="7C8D2232">
      <w:pPr>
        <w:pStyle w:val="53"/>
        <w:numPr>
          <w:ilvl w:val="0"/>
          <w:numId w:val="7"/>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证书中附页：</w:t>
      </w:r>
      <w:r>
        <w:rPr>
          <w:rFonts w:hint="eastAsia"/>
          <w:color w:val="000000" w:themeColor="text1"/>
          <w14:textFill>
            <w14:solidFill>
              <w14:schemeClr w14:val="tx1"/>
            </w14:solidFill>
          </w14:textFill>
        </w:rPr>
        <w:t>规定了《纯电池动力船舶附页》及其填写说明。</w:t>
      </w:r>
    </w:p>
    <w:p w14:paraId="556E113F">
      <w:pPr>
        <w:pStyle w:val="53"/>
        <w:adjustRightInd/>
        <w:snapToGrid/>
        <w:ind w:left="0" w:firstLine="0"/>
        <w:rPr>
          <w:color w:val="000000" w:themeColor="text1"/>
          <w14:textFill>
            <w14:solidFill>
              <w14:schemeClr w14:val="tx1"/>
            </w14:solidFill>
          </w14:textFill>
        </w:rPr>
      </w:pPr>
    </w:p>
    <w:p w14:paraId="546C897B">
      <w:pPr>
        <w:pStyle w:val="53"/>
        <w:numPr>
          <w:ilvl w:val="0"/>
          <w:numId w:val="6"/>
        </w:numPr>
        <w:adjustRightInd/>
        <w:snapToGrid/>
        <w:ind w:left="0" w:firstLine="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船舶布置</w:t>
      </w:r>
    </w:p>
    <w:p w14:paraId="0B4299DC">
      <w:pPr>
        <w:pStyle w:val="53"/>
        <w:numPr>
          <w:ilvl w:val="0"/>
          <w:numId w:val="8"/>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布置位置的一般要求：</w:t>
      </w:r>
      <w:r>
        <w:rPr>
          <w:rFonts w:hint="eastAsia"/>
          <w:color w:val="000000" w:themeColor="text1"/>
          <w14:textFill>
            <w14:solidFill>
              <w14:schemeClr w14:val="tx1"/>
            </w14:solidFill>
          </w14:textFill>
        </w:rPr>
        <w:t>应安装在专用的处所内，蓄电池的布置位置应位于防撞舱壁以后的区域。</w:t>
      </w:r>
    </w:p>
    <w:p w14:paraId="4E40B1DC">
      <w:pPr>
        <w:pStyle w:val="53"/>
        <w:numPr>
          <w:ilvl w:val="0"/>
          <w:numId w:val="8"/>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蓄电池包防护等级：</w:t>
      </w:r>
      <w:r>
        <w:rPr>
          <w:rFonts w:hint="eastAsia"/>
          <w:color w:val="000000" w:themeColor="text1"/>
          <w14:textFill>
            <w14:solidFill>
              <w14:schemeClr w14:val="tx1"/>
            </w14:solidFill>
          </w14:textFill>
        </w:rPr>
        <w:t>对于船长大于</w:t>
      </w:r>
      <w:r>
        <w:rPr>
          <w:color w:val="000000" w:themeColor="text1"/>
          <w14:textFill>
            <w14:solidFill>
              <w14:schemeClr w14:val="tx1"/>
            </w14:solidFill>
          </w14:textFill>
        </w:rPr>
        <w:t>50m</w:t>
      </w:r>
      <w:r>
        <w:rPr>
          <w:rFonts w:hint="eastAsia"/>
          <w:color w:val="000000" w:themeColor="text1"/>
          <w14:textFill>
            <w14:solidFill>
              <w14:schemeClr w14:val="tx1"/>
            </w14:solidFill>
          </w14:textFill>
        </w:rPr>
        <w:t>或载客人数大于</w:t>
      </w:r>
      <w:r>
        <w:rPr>
          <w:color w:val="000000" w:themeColor="text1"/>
          <w14:textFill>
            <w14:solidFill>
              <w14:schemeClr w14:val="tx1"/>
            </w14:solidFill>
          </w14:textFill>
        </w:rPr>
        <w:t>150</w:t>
      </w:r>
      <w:r>
        <w:rPr>
          <w:rFonts w:hint="eastAsia"/>
          <w:color w:val="000000" w:themeColor="text1"/>
          <w14:textFill>
            <w14:solidFill>
              <w14:schemeClr w14:val="tx1"/>
            </w14:solidFill>
          </w14:textFill>
        </w:rPr>
        <w:t>人的客船、载运（含散装和包装）危险货物的船舶、采用</w:t>
      </w:r>
      <w:r>
        <w:rPr>
          <w:color w:val="000000" w:themeColor="text1"/>
          <w14:textFill>
            <w14:solidFill>
              <w14:schemeClr w14:val="tx1"/>
            </w14:solidFill>
          </w14:textFill>
        </w:rPr>
        <w:t>箱式电源</w:t>
      </w:r>
      <w:r>
        <w:rPr>
          <w:rFonts w:hint="eastAsia"/>
          <w:color w:val="000000" w:themeColor="text1"/>
          <w14:textFill>
            <w14:solidFill>
              <w14:schemeClr w14:val="tx1"/>
            </w14:solidFill>
          </w14:textFill>
        </w:rPr>
        <w:t>的船舶以及</w:t>
      </w:r>
      <w:r>
        <w:rPr>
          <w:color w:val="000000" w:themeColor="text1"/>
          <w14:textFill>
            <w14:solidFill>
              <w14:schemeClr w14:val="tx1"/>
            </w14:solidFill>
          </w14:textFill>
        </w:rPr>
        <w:t>纤维增强塑料船</w:t>
      </w:r>
      <w:r>
        <w:rPr>
          <w:rFonts w:hint="eastAsia"/>
          <w:color w:val="000000" w:themeColor="text1"/>
          <w14:textFill>
            <w14:solidFill>
              <w14:schemeClr w14:val="tx1"/>
            </w14:solidFill>
          </w14:textFill>
        </w:rPr>
        <w:t>，蓄电池包的防护等级应不低于</w:t>
      </w:r>
      <w:r>
        <w:rPr>
          <w:color w:val="000000" w:themeColor="text1"/>
          <w14:textFill>
            <w14:solidFill>
              <w14:schemeClr w14:val="tx1"/>
            </w14:solidFill>
          </w14:textFill>
        </w:rPr>
        <w:t>IP67</w:t>
      </w:r>
      <w:r>
        <w:rPr>
          <w:rFonts w:hint="eastAsia"/>
          <w:color w:val="000000" w:themeColor="text1"/>
          <w14:textFill>
            <w14:solidFill>
              <w14:schemeClr w14:val="tx1"/>
            </w14:solidFill>
          </w14:textFill>
        </w:rPr>
        <w:t>。</w:t>
      </w:r>
    </w:p>
    <w:p w14:paraId="2FA74BD2">
      <w:pPr>
        <w:pStyle w:val="53"/>
        <w:numPr>
          <w:ilvl w:val="0"/>
          <w:numId w:val="8"/>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电池舱、柜的布置：</w:t>
      </w:r>
      <w:r>
        <w:rPr>
          <w:rFonts w:hint="eastAsia"/>
          <w:color w:val="000000" w:themeColor="text1"/>
          <w14:textFill>
            <w14:solidFill>
              <w14:schemeClr w14:val="tx1"/>
            </w14:solidFill>
          </w14:textFill>
        </w:rPr>
        <w:t>明确蓄电池舱、开敞甲板上蓄电池箱柜和箱式电源在船上的布置。</w:t>
      </w:r>
    </w:p>
    <w:p w14:paraId="2CF5B7BE">
      <w:pPr>
        <w:pStyle w:val="53"/>
        <w:adjustRightInd/>
        <w:snapToGrid/>
        <w:ind w:left="0" w:firstLine="0"/>
        <w:rPr>
          <w:color w:val="000000" w:themeColor="text1"/>
          <w14:textFill>
            <w14:solidFill>
              <w14:schemeClr w14:val="tx1"/>
            </w14:solidFill>
          </w14:textFill>
        </w:rPr>
      </w:pPr>
    </w:p>
    <w:p w14:paraId="4A126913">
      <w:pPr>
        <w:pStyle w:val="53"/>
        <w:numPr>
          <w:ilvl w:val="0"/>
          <w:numId w:val="6"/>
        </w:numPr>
        <w:adjustRightInd/>
        <w:snapToGrid/>
        <w:ind w:left="0" w:firstLine="0"/>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电池系统</w:t>
      </w:r>
    </w:p>
    <w:p w14:paraId="17A20892">
      <w:pPr>
        <w:pStyle w:val="53"/>
        <w:numPr>
          <w:ilvl w:val="0"/>
          <w:numId w:val="9"/>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电源配备：</w:t>
      </w:r>
      <w:r>
        <w:rPr>
          <w:rFonts w:hint="eastAsia"/>
          <w:color w:val="000000" w:themeColor="text1"/>
          <w14:textFill>
            <w14:solidFill>
              <w14:schemeClr w14:val="tx1"/>
            </w14:solidFill>
          </w14:textFill>
        </w:rPr>
        <w:t>包括主电源和推进电源的配备要求。</w:t>
      </w:r>
    </w:p>
    <w:p w14:paraId="681E692B">
      <w:pPr>
        <w:pStyle w:val="53"/>
        <w:numPr>
          <w:ilvl w:val="0"/>
          <w:numId w:val="9"/>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应急电源配备</w:t>
      </w:r>
      <w:r>
        <w:rPr>
          <w:rFonts w:hint="eastAsia"/>
          <w:color w:val="000000" w:themeColor="text1"/>
          <w14:textFill>
            <w14:solidFill>
              <w14:schemeClr w14:val="tx1"/>
            </w14:solidFill>
          </w14:textFill>
        </w:rPr>
        <w:t>：应急电源的安装、供电时间应满足本局对船舶航行水域适用的规则对应急电源的要求及本规则特殊要求。</w:t>
      </w:r>
    </w:p>
    <w:p w14:paraId="3324DA51">
      <w:pPr>
        <w:pStyle w:val="53"/>
        <w:numPr>
          <w:ilvl w:val="0"/>
          <w:numId w:val="9"/>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电池系统的保护：</w:t>
      </w:r>
      <w:r>
        <w:rPr>
          <w:rFonts w:hint="eastAsia"/>
          <w:color w:val="000000" w:themeColor="text1"/>
          <w14:textFill>
            <w14:solidFill>
              <w14:schemeClr w14:val="tx1"/>
            </w14:solidFill>
          </w14:textFill>
        </w:rPr>
        <w:t>提出防止全船失电的要求等。</w:t>
      </w:r>
    </w:p>
    <w:p w14:paraId="39ABA546">
      <w:pPr>
        <w:pStyle w:val="53"/>
        <w:numPr>
          <w:ilvl w:val="0"/>
          <w:numId w:val="9"/>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充电装置：</w:t>
      </w:r>
      <w:r>
        <w:rPr>
          <w:rFonts w:hint="eastAsia"/>
          <w:color w:val="000000" w:themeColor="text1"/>
          <w14:textFill>
            <w14:solidFill>
              <w14:schemeClr w14:val="tx1"/>
            </w14:solidFill>
          </w14:textFill>
        </w:rPr>
        <w:t>规定</w:t>
      </w:r>
      <w:r>
        <w:rPr>
          <w:color w:val="000000" w:themeColor="text1"/>
          <w14:textFill>
            <w14:solidFill>
              <w14:schemeClr w14:val="tx1"/>
            </w14:solidFill>
          </w14:textFill>
        </w:rPr>
        <w:t>电池系统应配有足够容量的充电装置</w:t>
      </w:r>
      <w:r>
        <w:rPr>
          <w:rFonts w:hint="eastAsia"/>
          <w:color w:val="000000" w:themeColor="text1"/>
          <w14:textFill>
            <w14:solidFill>
              <w14:schemeClr w14:val="tx1"/>
            </w14:solidFill>
          </w14:textFill>
        </w:rPr>
        <w:t>，并具有适当的保护。</w:t>
      </w:r>
    </w:p>
    <w:p w14:paraId="5E863303">
      <w:pPr>
        <w:pStyle w:val="53"/>
        <w:numPr>
          <w:ilvl w:val="0"/>
          <w:numId w:val="9"/>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箱式电源：</w:t>
      </w:r>
      <w:r>
        <w:rPr>
          <w:rFonts w:hint="eastAsia"/>
          <w:color w:val="000000" w:themeColor="text1"/>
          <w14:textFill>
            <w14:solidFill>
              <w14:schemeClr w14:val="tx1"/>
            </w14:solidFill>
          </w14:textFill>
        </w:rPr>
        <w:t>明确</w:t>
      </w:r>
      <w:r>
        <w:rPr>
          <w:color w:val="000000" w:themeColor="text1"/>
          <w14:textFill>
            <w14:solidFill>
              <w14:schemeClr w14:val="tx1"/>
            </w14:solidFill>
          </w14:textFill>
        </w:rPr>
        <w:t>箱式电源</w:t>
      </w:r>
      <w:r>
        <w:rPr>
          <w:rFonts w:hint="eastAsia"/>
          <w:color w:val="000000" w:themeColor="text1"/>
          <w14:textFill>
            <w14:solidFill>
              <w14:schemeClr w14:val="tx1"/>
            </w14:solidFill>
          </w14:textFill>
        </w:rPr>
        <w:t>箱体、箱内蓄电池及设备布置以及箱式电源与船舶的连接要求。</w:t>
      </w:r>
    </w:p>
    <w:p w14:paraId="6F4215E2">
      <w:pPr>
        <w:pStyle w:val="53"/>
        <w:adjustRightInd/>
        <w:snapToGrid/>
        <w:ind w:left="0" w:firstLine="0"/>
        <w:rPr>
          <w:color w:val="000000" w:themeColor="text1"/>
          <w14:textFill>
            <w14:solidFill>
              <w14:schemeClr w14:val="tx1"/>
            </w14:solidFill>
          </w14:textFill>
        </w:rPr>
      </w:pPr>
    </w:p>
    <w:p w14:paraId="001CAEF0">
      <w:pPr>
        <w:pStyle w:val="53"/>
        <w:numPr>
          <w:ilvl w:val="0"/>
          <w:numId w:val="6"/>
        </w:numPr>
        <w:adjustRightInd/>
        <w:snapToGrid/>
        <w:ind w:left="0" w:firstLine="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配电系统</w:t>
      </w:r>
    </w:p>
    <w:p w14:paraId="355EFAA2">
      <w:pPr>
        <w:pStyle w:val="53"/>
        <w:numPr>
          <w:ilvl w:val="0"/>
          <w:numId w:val="10"/>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一般要求：</w:t>
      </w:r>
      <w:r>
        <w:rPr>
          <w:color w:val="000000" w:themeColor="text1"/>
          <w14:textFill>
            <w14:solidFill>
              <w14:schemeClr w14:val="tx1"/>
            </w14:solidFill>
          </w14:textFill>
        </w:rPr>
        <w:t>船舶配电系统除满足本规则外，还应满足</w:t>
      </w:r>
      <w:r>
        <w:rPr>
          <w:rFonts w:hint="eastAsia"/>
          <w:color w:val="000000" w:themeColor="text1"/>
          <w14:textFill>
            <w14:solidFill>
              <w14:schemeClr w14:val="tx1"/>
            </w14:solidFill>
          </w14:textFill>
        </w:rPr>
        <w:t>本局对船舶航行水域适用的</w:t>
      </w:r>
      <w:r>
        <w:rPr>
          <w:color w:val="000000" w:themeColor="text1"/>
          <w14:textFill>
            <w14:solidFill>
              <w14:schemeClr w14:val="tx1"/>
            </w14:solidFill>
          </w14:textFill>
        </w:rPr>
        <w:t>规则对船舶配电系统的有关要求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在故障条件下，船舶配电系统及设备应具备适当的保护</w:t>
      </w:r>
      <w:r>
        <w:rPr>
          <w:rFonts w:hint="eastAsia"/>
          <w:color w:val="000000" w:themeColor="text1"/>
          <w14:textFill>
            <w14:solidFill>
              <w14:schemeClr w14:val="tx1"/>
            </w14:solidFill>
          </w14:textFill>
        </w:rPr>
        <w:t>。</w:t>
      </w:r>
    </w:p>
    <w:p w14:paraId="51CB0CEC">
      <w:pPr>
        <w:pStyle w:val="53"/>
        <w:numPr>
          <w:ilvl w:val="0"/>
          <w:numId w:val="10"/>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直流配电系统：</w:t>
      </w:r>
      <w:r>
        <w:rPr>
          <w:color w:val="000000" w:themeColor="text1"/>
          <w14:textFill>
            <w14:solidFill>
              <w14:schemeClr w14:val="tx1"/>
            </w14:solidFill>
          </w14:textFill>
        </w:rPr>
        <w:t>船舶设置直流</w:t>
      </w:r>
      <w:r>
        <w:rPr>
          <w:rFonts w:hint="eastAsia"/>
          <w:color w:val="000000" w:themeColor="text1"/>
          <w14:textFill>
            <w14:solidFill>
              <w14:schemeClr w14:val="tx1"/>
            </w14:solidFill>
          </w14:textFill>
        </w:rPr>
        <w:t>配电</w:t>
      </w:r>
      <w:r>
        <w:rPr>
          <w:color w:val="000000" w:themeColor="text1"/>
          <w14:textFill>
            <w14:solidFill>
              <w14:schemeClr w14:val="tx1"/>
            </w14:solidFill>
          </w14:textFill>
        </w:rPr>
        <w:t>系统时，安全性和可靠性应与</w:t>
      </w:r>
      <w:r>
        <w:rPr>
          <w:rFonts w:hint="eastAsia"/>
          <w:color w:val="000000" w:themeColor="text1"/>
          <w14:textFill>
            <w14:solidFill>
              <w14:schemeClr w14:val="tx1"/>
            </w14:solidFill>
          </w14:textFill>
        </w:rPr>
        <w:t>常规燃油</w:t>
      </w:r>
      <w:r>
        <w:rPr>
          <w:color w:val="000000" w:themeColor="text1"/>
          <w14:textFill>
            <w14:solidFill>
              <w14:schemeClr w14:val="tx1"/>
            </w14:solidFill>
          </w14:textFill>
        </w:rPr>
        <w:t>动力船舶处于同一水平</w:t>
      </w:r>
      <w:r>
        <w:rPr>
          <w:rFonts w:hint="eastAsia"/>
          <w:color w:val="000000" w:themeColor="text1"/>
          <w14:textFill>
            <w14:solidFill>
              <w14:schemeClr w14:val="tx1"/>
            </w14:solidFill>
          </w14:textFill>
        </w:rPr>
        <w:t>，并符合公认标准的要求。</w:t>
      </w:r>
    </w:p>
    <w:p w14:paraId="6203C077">
      <w:pPr>
        <w:pStyle w:val="53"/>
        <w:numPr>
          <w:ilvl w:val="0"/>
          <w:numId w:val="10"/>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交流配电系统：</w:t>
      </w:r>
      <w:r>
        <w:rPr>
          <w:rFonts w:ascii="宋体" w:hAnsi="宋体"/>
          <w:color w:val="000000" w:themeColor="text1"/>
          <w14:textFill>
            <w14:solidFill>
              <w14:schemeClr w14:val="tx1"/>
            </w14:solidFill>
          </w14:textFill>
        </w:rPr>
        <w:t>交流配电系统</w:t>
      </w:r>
      <w:r>
        <w:rPr>
          <w:rFonts w:hint="eastAsia"/>
          <w:color w:val="000000" w:themeColor="text1"/>
          <w14:textFill>
            <w14:solidFill>
              <w14:schemeClr w14:val="tx1"/>
            </w14:solidFill>
          </w14:textFill>
        </w:rPr>
        <w:t>满足对船舶航行水域适用的规则和公认标准的相关要求。</w:t>
      </w:r>
    </w:p>
    <w:p w14:paraId="205C4B23">
      <w:pPr>
        <w:pStyle w:val="53"/>
        <w:adjustRightInd/>
        <w:snapToGrid/>
        <w:ind w:left="0" w:firstLine="0"/>
        <w:rPr>
          <w:color w:val="000000" w:themeColor="text1"/>
          <w14:textFill>
            <w14:solidFill>
              <w14:schemeClr w14:val="tx1"/>
            </w14:solidFill>
          </w14:textFill>
        </w:rPr>
      </w:pPr>
    </w:p>
    <w:p w14:paraId="064E7836">
      <w:pPr>
        <w:pStyle w:val="53"/>
        <w:numPr>
          <w:ilvl w:val="0"/>
          <w:numId w:val="6"/>
        </w:numPr>
        <w:adjustRightInd/>
        <w:snapToGrid/>
        <w:ind w:left="0" w:firstLine="0"/>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控制、监测、报警和安全系统</w:t>
      </w:r>
    </w:p>
    <w:p w14:paraId="66E0F2B8">
      <w:pPr>
        <w:pStyle w:val="53"/>
        <w:numPr>
          <w:ilvl w:val="0"/>
          <w:numId w:val="11"/>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船舶管理系统：</w:t>
      </w:r>
      <w:r>
        <w:rPr>
          <w:rFonts w:hint="eastAsia"/>
          <w:color w:val="000000" w:themeColor="text1"/>
          <w14:textFill>
            <w14:solidFill>
              <w14:schemeClr w14:val="tx1"/>
            </w14:solidFill>
          </w14:textFill>
        </w:rPr>
        <w:t>船舶应设置船舶管理系统，用于对船舶动力系统的监测、报警和控制。</w:t>
      </w:r>
    </w:p>
    <w:p w14:paraId="63D148FB">
      <w:pPr>
        <w:pStyle w:val="53"/>
        <w:numPr>
          <w:ilvl w:val="0"/>
          <w:numId w:val="11"/>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电池管理系统：</w:t>
      </w:r>
      <w:r>
        <w:rPr>
          <w:rFonts w:hint="eastAsia"/>
          <w:color w:val="000000" w:themeColor="text1"/>
          <w14:textFill>
            <w14:solidFill>
              <w14:schemeClr w14:val="tx1"/>
            </w14:solidFill>
          </w14:textFill>
        </w:rPr>
        <w:t>BMS的通用要求和基本功能要求。</w:t>
      </w:r>
    </w:p>
    <w:p w14:paraId="69BAB88E">
      <w:pPr>
        <w:pStyle w:val="53"/>
        <w:numPr>
          <w:ilvl w:val="0"/>
          <w:numId w:val="11"/>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温度监测、可燃气体探测等：</w:t>
      </w:r>
      <w:r>
        <w:rPr>
          <w:rFonts w:hint="eastAsia"/>
          <w:color w:val="000000" w:themeColor="text1"/>
          <w14:textFill>
            <w14:solidFill>
              <w14:schemeClr w14:val="tx1"/>
            </w14:solidFill>
          </w14:textFill>
        </w:rPr>
        <w:t>明确蓄电池舱、开敞甲板上蓄电池箱柜和箱式电源</w:t>
      </w:r>
      <w:r>
        <w:rPr>
          <w:rFonts w:hint="eastAsia"/>
          <w:bCs w:val="0"/>
          <w:color w:val="000000" w:themeColor="text1"/>
          <w14:textFill>
            <w14:solidFill>
              <w14:schemeClr w14:val="tx1"/>
            </w14:solidFill>
          </w14:textFill>
        </w:rPr>
        <w:t>内电池处所的</w:t>
      </w:r>
      <w:r>
        <w:rPr>
          <w:rFonts w:hint="eastAsia"/>
          <w:color w:val="000000" w:themeColor="text1"/>
          <w14:textFill>
            <w14:solidFill>
              <w14:schemeClr w14:val="tx1"/>
            </w14:solidFill>
          </w14:textFill>
        </w:rPr>
        <w:t>温度监测报警和可燃气体监测报警要求。</w:t>
      </w:r>
    </w:p>
    <w:p w14:paraId="19391960">
      <w:pPr>
        <w:pStyle w:val="53"/>
        <w:adjustRightInd/>
        <w:snapToGrid/>
        <w:ind w:left="0" w:firstLine="0"/>
        <w:rPr>
          <w:color w:val="000000" w:themeColor="text1"/>
          <w14:textFill>
            <w14:solidFill>
              <w14:schemeClr w14:val="tx1"/>
            </w14:solidFill>
          </w14:textFill>
        </w:rPr>
      </w:pPr>
    </w:p>
    <w:p w14:paraId="163E075C">
      <w:pPr>
        <w:pStyle w:val="53"/>
        <w:numPr>
          <w:ilvl w:val="0"/>
          <w:numId w:val="6"/>
        </w:numPr>
        <w:adjustRightInd/>
        <w:snapToGrid/>
        <w:ind w:left="0" w:firstLine="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温度控制、排气与排水</w:t>
      </w:r>
    </w:p>
    <w:p w14:paraId="4D1790CC">
      <w:pPr>
        <w:pStyle w:val="53"/>
        <w:numPr>
          <w:ilvl w:val="0"/>
          <w:numId w:val="12"/>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各系统和装置要求：</w:t>
      </w:r>
      <w:r>
        <w:rPr>
          <w:rFonts w:hint="eastAsia"/>
          <w:color w:val="000000" w:themeColor="text1"/>
          <w14:textFill>
            <w14:solidFill>
              <w14:schemeClr w14:val="tx1"/>
            </w14:solidFill>
          </w14:textFill>
        </w:rPr>
        <w:t>包括温度控制、应急排气、排水系统等要求，以保障电池系统等安全运行和事故控制。</w:t>
      </w:r>
    </w:p>
    <w:p w14:paraId="25A47B76">
      <w:pPr>
        <w:pStyle w:val="53"/>
        <w:adjustRightInd/>
        <w:snapToGrid/>
        <w:ind w:left="0" w:firstLine="0"/>
        <w:rPr>
          <w:color w:val="000000" w:themeColor="text1"/>
          <w14:textFill>
            <w14:solidFill>
              <w14:schemeClr w14:val="tx1"/>
            </w14:solidFill>
          </w14:textFill>
        </w:rPr>
      </w:pPr>
    </w:p>
    <w:p w14:paraId="128A4143">
      <w:pPr>
        <w:pStyle w:val="53"/>
        <w:numPr>
          <w:ilvl w:val="0"/>
          <w:numId w:val="6"/>
        </w:numPr>
        <w:adjustRightInd/>
        <w:snapToGrid/>
        <w:ind w:left="0" w:firstLine="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消防</w:t>
      </w:r>
    </w:p>
    <w:p w14:paraId="4A9CCA43">
      <w:pPr>
        <w:pStyle w:val="53"/>
        <w:numPr>
          <w:ilvl w:val="0"/>
          <w:numId w:val="13"/>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消防要求：</w:t>
      </w:r>
      <w:r>
        <w:rPr>
          <w:rFonts w:hint="eastAsia"/>
          <w:color w:val="000000" w:themeColor="text1"/>
          <w14:textFill>
            <w14:solidFill>
              <w14:schemeClr w14:val="tx1"/>
            </w14:solidFill>
          </w14:textFill>
        </w:rPr>
        <w:t>对火灾限制与探测、火灾抑制、人员脱险等要求，以及纤维增强塑料船和箱式电源的特殊要求予以明确。</w:t>
      </w:r>
    </w:p>
    <w:p w14:paraId="0EDA13A3">
      <w:pPr>
        <w:pStyle w:val="53"/>
        <w:adjustRightInd/>
        <w:snapToGrid/>
        <w:ind w:left="0" w:firstLine="0"/>
        <w:rPr>
          <w:color w:val="000000" w:themeColor="text1"/>
          <w14:textFill>
            <w14:solidFill>
              <w14:schemeClr w14:val="tx1"/>
            </w14:solidFill>
          </w14:textFill>
        </w:rPr>
      </w:pPr>
    </w:p>
    <w:p w14:paraId="7482440C">
      <w:pPr>
        <w:pStyle w:val="53"/>
        <w:numPr>
          <w:ilvl w:val="0"/>
          <w:numId w:val="6"/>
        </w:numPr>
        <w:adjustRightInd/>
        <w:snapToGrid/>
        <w:ind w:left="0" w:firstLine="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风险评估</w:t>
      </w:r>
    </w:p>
    <w:p w14:paraId="05DB37E8">
      <w:pPr>
        <w:pStyle w:val="53"/>
        <w:numPr>
          <w:ilvl w:val="0"/>
          <w:numId w:val="14"/>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评估要求：</w:t>
      </w:r>
      <w:r>
        <w:rPr>
          <w:color w:val="000000" w:themeColor="text1"/>
          <w14:textFill>
            <w14:solidFill>
              <w14:schemeClr w14:val="tx1"/>
            </w14:solidFill>
          </w14:textFill>
        </w:rPr>
        <w:t>为消除或降低使用磷酸铁锂电池时可能给人员、船舶和环境带来的风险，纯电池动力船舶应进行风险评估。风险评估应使用可接受的、公认的方</w:t>
      </w:r>
      <w:r>
        <w:rPr>
          <w:rFonts w:hint="eastAsia"/>
          <w:color w:val="000000" w:themeColor="text1"/>
          <w14:textFill>
            <w14:solidFill>
              <w14:schemeClr w14:val="tx1"/>
            </w14:solidFill>
          </w14:textFill>
        </w:rPr>
        <w:t>法。</w:t>
      </w:r>
    </w:p>
    <w:p w14:paraId="415CA33E">
      <w:pPr>
        <w:pStyle w:val="53"/>
        <w:numPr>
          <w:ilvl w:val="0"/>
          <w:numId w:val="14"/>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评估范围：</w:t>
      </w:r>
      <w:r>
        <w:rPr>
          <w:rFonts w:hint="eastAsia"/>
          <w:color w:val="000000" w:themeColor="text1"/>
          <w14:textFill>
            <w14:solidFill>
              <w14:schemeClr w14:val="tx1"/>
            </w14:solidFill>
          </w14:textFill>
        </w:rPr>
        <w:t>包括但不限于</w:t>
      </w:r>
      <w:r>
        <w:rPr>
          <w:color w:val="000000" w:themeColor="text1"/>
          <w14:textFill>
            <w14:solidFill>
              <w14:schemeClr w14:val="tx1"/>
            </w14:solidFill>
          </w14:textFill>
        </w:rPr>
        <w:t>船舶的电池系统、配电系统和推进系统</w:t>
      </w:r>
      <w:r>
        <w:rPr>
          <w:rFonts w:hint="eastAsia"/>
          <w:color w:val="000000" w:themeColor="text1"/>
          <w14:textFill>
            <w14:solidFill>
              <w14:schemeClr w14:val="tx1"/>
            </w14:solidFill>
          </w14:textFill>
        </w:rPr>
        <w:t>。</w:t>
      </w:r>
    </w:p>
    <w:p w14:paraId="3469482B">
      <w:pPr>
        <w:pStyle w:val="53"/>
        <w:numPr>
          <w:ilvl w:val="0"/>
          <w:numId w:val="14"/>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评估过程：</w:t>
      </w:r>
      <w:r>
        <w:rPr>
          <w:rFonts w:hint="eastAsia"/>
          <w:color w:val="000000" w:themeColor="text1"/>
          <w14:textFill>
            <w14:solidFill>
              <w14:schemeClr w14:val="tx1"/>
            </w14:solidFill>
          </w14:textFill>
        </w:rPr>
        <w:t>至少包括危险识别、危害性分析、可能性分析、风险评价和决策建议等评估过程。</w:t>
      </w:r>
    </w:p>
    <w:p w14:paraId="589B8471">
      <w:pPr>
        <w:pStyle w:val="53"/>
        <w:adjustRightInd/>
        <w:snapToGrid/>
        <w:ind w:left="0" w:firstLine="0"/>
        <w:rPr>
          <w:color w:val="000000" w:themeColor="text1"/>
          <w14:textFill>
            <w14:solidFill>
              <w14:schemeClr w14:val="tx1"/>
            </w14:solidFill>
          </w14:textFill>
        </w:rPr>
      </w:pPr>
    </w:p>
    <w:p w14:paraId="64673E09">
      <w:pPr>
        <w:pStyle w:val="53"/>
        <w:numPr>
          <w:ilvl w:val="0"/>
          <w:numId w:val="6"/>
        </w:numPr>
        <w:adjustRightInd/>
        <w:snapToGrid/>
        <w:ind w:left="0" w:firstLine="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试验</w:t>
      </w:r>
    </w:p>
    <w:p w14:paraId="17B65A15">
      <w:pPr>
        <w:pStyle w:val="53"/>
        <w:numPr>
          <w:ilvl w:val="0"/>
          <w:numId w:val="15"/>
        </w:numPr>
        <w:adjustRightInd/>
        <w:snapToGrid/>
        <w:ind w:left="0" w:firstLine="422" w:firstLineChars="200"/>
        <w:rPr>
          <w:color w:val="000000" w:themeColor="text1"/>
          <w14:textFill>
            <w14:solidFill>
              <w14:schemeClr w14:val="tx1"/>
            </w14:solidFill>
          </w14:textFill>
        </w:rPr>
      </w:pPr>
      <w:r>
        <w:rPr>
          <w:rFonts w:hint="eastAsia"/>
          <w:b/>
          <w:bCs w:val="0"/>
          <w:color w:val="000000" w:themeColor="text1"/>
          <w14:textFill>
            <w14:solidFill>
              <w14:schemeClr w14:val="tx1"/>
            </w14:solidFill>
          </w14:textFill>
        </w:rPr>
        <w:t>陆上联调、系泊和航行试验</w:t>
      </w:r>
      <w:r>
        <w:rPr>
          <w:rFonts w:hint="eastAsia"/>
          <w:color w:val="000000" w:themeColor="text1"/>
          <w14:textFill>
            <w14:solidFill>
              <w14:schemeClr w14:val="tx1"/>
            </w14:solidFill>
          </w14:textFill>
        </w:rPr>
        <w:t>，满足认可的相关标准的要求。</w:t>
      </w:r>
    </w:p>
    <w:p w14:paraId="462EB4AD">
      <w:pPr>
        <w:pStyle w:val="58"/>
        <w:numPr>
          <w:ilvl w:val="0"/>
          <w:numId w:val="0"/>
        </w:numPr>
        <w:adjustRightInd/>
        <w:snapToGrid/>
        <w:rPr>
          <w:rFonts w:hint="eastAsia" w:ascii="Times New Roman"/>
          <w:color w:val="000000" w:themeColor="text1"/>
          <w14:textFill>
            <w14:solidFill>
              <w14:schemeClr w14:val="tx1"/>
            </w14:solidFill>
          </w14:textFill>
        </w:rPr>
      </w:pPr>
    </w:p>
    <w:p w14:paraId="53B0AF1F">
      <w:pPr>
        <w:pStyle w:val="58"/>
        <w:numPr>
          <w:ilvl w:val="0"/>
          <w:numId w:val="6"/>
        </w:numPr>
        <w:adjustRightInd/>
        <w:snapToGrid/>
        <w:ind w:left="0" w:firstLine="0"/>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操作和维护要求</w:t>
      </w:r>
    </w:p>
    <w:p w14:paraId="4FFA3315">
      <w:pPr>
        <w:pStyle w:val="58"/>
        <w:numPr>
          <w:ilvl w:val="0"/>
          <w:numId w:val="16"/>
        </w:numPr>
        <w:adjustRightInd/>
        <w:snapToGrid/>
        <w:ind w:left="0" w:firstLine="422" w:firstLineChars="200"/>
        <w:rPr>
          <w:rFonts w:hint="eastAsia" w:ascii="Times New Roman"/>
          <w:color w:val="000000" w:themeColor="text1"/>
          <w14:textFill>
            <w14:solidFill>
              <w14:schemeClr w14:val="tx1"/>
            </w14:solidFill>
          </w14:textFill>
        </w:rPr>
      </w:pPr>
      <w:r>
        <w:rPr>
          <w:rFonts w:hint="eastAsia" w:ascii="Times New Roman"/>
          <w:b/>
          <w:bCs w:val="0"/>
          <w:color w:val="000000" w:themeColor="text1"/>
          <w14:textFill>
            <w14:solidFill>
              <w14:schemeClr w14:val="tx1"/>
            </w14:solidFill>
          </w14:textFill>
        </w:rPr>
        <w:t>手册内容：</w:t>
      </w:r>
      <w:r>
        <w:rPr>
          <w:rFonts w:hint="eastAsia" w:ascii="Times New Roman"/>
          <w:color w:val="000000" w:themeColor="text1"/>
          <w14:textFill>
            <w14:solidFill>
              <w14:schemeClr w14:val="tx1"/>
            </w14:solidFill>
          </w14:textFill>
        </w:rPr>
        <w:t>对操作手册、维护保养计划和培训手册的主要内容作出规定。对高速船，可纳入高速船舶相关手册和计划等文件中。</w:t>
      </w:r>
    </w:p>
    <w:p w14:paraId="220E70FD">
      <w:pPr>
        <w:pStyle w:val="58"/>
        <w:numPr>
          <w:ilvl w:val="0"/>
          <w:numId w:val="0"/>
        </w:numPr>
        <w:spacing w:line="240" w:lineRule="auto"/>
        <w:rPr>
          <w:rFonts w:hint="eastAsia" w:ascii="Times New Roman"/>
          <w:color w:val="000000" w:themeColor="text1"/>
          <w14:textFill>
            <w14:solidFill>
              <w14:schemeClr w14:val="tx1"/>
            </w14:solidFill>
          </w14:textFill>
        </w:rPr>
      </w:pPr>
    </w:p>
    <w:p w14:paraId="07813B0A">
      <w:pPr>
        <w:pStyle w:val="53"/>
        <w:spacing w:line="240" w:lineRule="auto"/>
        <w:ind w:left="0" w:firstLine="0"/>
        <w:rPr>
          <w:color w:val="000000" w:themeColor="text1"/>
          <w14:textFill>
            <w14:solidFill>
              <w14:schemeClr w14:val="tx1"/>
            </w14:solidFill>
          </w14:textFill>
        </w:rPr>
      </w:pPr>
    </w:p>
    <w:p w14:paraId="47DF9B00">
      <w:pPr>
        <w:pStyle w:val="53"/>
        <w:spacing w:line="240" w:lineRule="auto"/>
        <w:ind w:left="0" w:firstLine="0"/>
        <w:rPr>
          <w:color w:val="000000" w:themeColor="text1"/>
          <w14:textFill>
            <w14:solidFill>
              <w14:schemeClr w14:val="tx1"/>
            </w14:solidFill>
          </w14:textFill>
        </w:rPr>
      </w:pPr>
    </w:p>
    <w:p w14:paraId="25EB87F9">
      <w:pPr>
        <w:ind w:firstLine="420"/>
        <w:jc w:val="left"/>
      </w:pPr>
    </w:p>
    <w:p w14:paraId="3672149C">
      <w:pPr>
        <w:rPr>
          <w:rFonts w:eastAsia="黑体"/>
          <w:b/>
          <w:color w:val="000000" w:themeColor="text1"/>
          <w:sz w:val="32"/>
          <w:szCs w:val="32"/>
          <w14:textFill>
            <w14:solidFill>
              <w14:schemeClr w14:val="tx1"/>
            </w14:solidFill>
          </w14:textFill>
        </w:rPr>
      </w:pPr>
      <w:r>
        <w:rPr>
          <w:rFonts w:eastAsia="黑体"/>
          <w:b/>
          <w:color w:val="000000" w:themeColor="text1"/>
          <w:sz w:val="32"/>
          <w:szCs w:val="32"/>
          <w14:textFill>
            <w14:solidFill>
              <w14:schemeClr w14:val="tx1"/>
            </w14:solidFill>
          </w14:textFill>
        </w:rPr>
        <w:br w:type="page"/>
      </w:r>
    </w:p>
    <w:p w14:paraId="6BB3A3A1">
      <w:pPr>
        <w:pStyle w:val="11"/>
        <w:jc w:val="center"/>
        <w:rPr>
          <w:rFonts w:eastAsia="黑体"/>
          <w:b/>
          <w:color w:val="000000" w:themeColor="text1"/>
          <w:sz w:val="32"/>
          <w:szCs w:val="32"/>
          <w14:textFill>
            <w14:solidFill>
              <w14:schemeClr w14:val="tx1"/>
            </w14:solidFill>
          </w14:textFill>
        </w:rPr>
      </w:pPr>
      <w:r>
        <w:rPr>
          <w:rFonts w:eastAsia="黑体"/>
          <w:b/>
          <w:color w:val="000000" w:themeColor="text1"/>
          <w:sz w:val="32"/>
          <w:szCs w:val="32"/>
          <w14:textFill>
            <w14:solidFill>
              <w14:schemeClr w14:val="tx1"/>
            </w14:solidFill>
          </w14:textFill>
        </w:rPr>
        <w:t>目录</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6AD0490B">
      <w:pPr>
        <w:pStyle w:val="11"/>
        <w:rPr>
          <w:rFonts w:asciiTheme="minorHAnsi" w:hAnsiTheme="minorHAnsi" w:eastAsiaTheme="minorEastAsia" w:cstheme="minorBidi"/>
          <w:szCs w:val="22"/>
        </w:rPr>
      </w:pPr>
      <w:r>
        <w:rPr>
          <w:rFonts w:eastAsiaTheme="minorEastAsia"/>
          <w:color w:val="000000" w:themeColor="text1"/>
          <w:szCs w:val="22"/>
          <w14:textFill>
            <w14:solidFill>
              <w14:schemeClr w14:val="tx1"/>
            </w14:solidFill>
          </w14:textFill>
        </w:rPr>
        <w:fldChar w:fldCharType="begin"/>
      </w:r>
      <w:r>
        <w:rPr>
          <w:color w:val="000000" w:themeColor="text1"/>
          <w14:textFill>
            <w14:solidFill>
              <w14:schemeClr w14:val="tx1"/>
            </w14:solidFill>
          </w14:textFill>
        </w:rPr>
        <w:instrText xml:space="preserve"> TOC \o "1-2" \h \z \u </w:instrText>
      </w:r>
      <w:r>
        <w:rPr>
          <w:rFonts w:eastAsiaTheme="minorEastAsia"/>
          <w:color w:val="000000" w:themeColor="text1"/>
          <w:szCs w:val="22"/>
          <w14:textFill>
            <w14:solidFill>
              <w14:schemeClr w14:val="tx1"/>
            </w14:solidFill>
          </w14:textFill>
        </w:rPr>
        <w:fldChar w:fldCharType="separate"/>
      </w:r>
      <w:r>
        <w:fldChar w:fldCharType="begin"/>
      </w:r>
      <w:r>
        <w:instrText xml:space="preserve"> HYPERLINK \l "_Toc167869194" </w:instrText>
      </w:r>
      <w:r>
        <w:fldChar w:fldCharType="separate"/>
      </w:r>
      <w:r>
        <w:rPr>
          <w:rStyle w:val="20"/>
          <w:rFonts w:hint="eastAsia"/>
        </w:rPr>
        <w:t>第1章 通则</w:t>
      </w:r>
      <w:r>
        <w:tab/>
      </w:r>
      <w:r>
        <w:fldChar w:fldCharType="end"/>
      </w:r>
    </w:p>
    <w:p w14:paraId="6148FDE9">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"_Toc167869195" </w:instrText>
      </w:r>
      <w:r>
        <w:fldChar w:fldCharType="separate"/>
      </w:r>
      <w:r>
        <w:rPr>
          <w:rStyle w:val="20"/>
          <w:rFonts w:hint="eastAsia" w:ascii="Times New Roman" w:hAnsi="Times New Roman"/>
        </w:rPr>
        <w:t>第1节 目的与应用</w:t>
      </w:r>
      <w:r>
        <w:tab/>
      </w:r>
      <w:r>
        <w:fldChar w:fldCharType="begin"/>
      </w:r>
      <w:r>
        <w:instrText xml:space="preserve"> PAGEREF _Toc167869195 \h </w:instrText>
      </w:r>
      <w:r>
        <w:fldChar w:fldCharType="separate"/>
      </w:r>
      <w:r>
        <w:t>1</w:t>
      </w:r>
      <w:r>
        <w:fldChar w:fldCharType="end"/>
      </w:r>
      <w:r>
        <w:fldChar w:fldCharType="end"/>
      </w:r>
    </w:p>
    <w:p w14:paraId="778AC921">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"_Toc167869196" </w:instrText>
      </w:r>
      <w:r>
        <w:fldChar w:fldCharType="separate"/>
      </w:r>
      <w:r>
        <w:rPr>
          <w:rStyle w:val="20"/>
          <w:rFonts w:hint="eastAsia" w:ascii="Times New Roman" w:hAnsi="Times New Roman"/>
        </w:rPr>
        <w:t>第2节 替代设计和风险评估</w:t>
      </w:r>
      <w:r>
        <w:tab/>
      </w:r>
      <w:r>
        <w:fldChar w:fldCharType="begin"/>
      </w:r>
      <w:r>
        <w:instrText xml:space="preserve"> PAGEREF _Toc167869196 \h </w:instrText>
      </w:r>
      <w:r>
        <w:fldChar w:fldCharType="separate"/>
      </w:r>
      <w:r>
        <w:t>1</w:t>
      </w:r>
      <w:r>
        <w:fldChar w:fldCharType="end"/>
      </w:r>
      <w:r>
        <w:fldChar w:fldCharType="end"/>
      </w:r>
    </w:p>
    <w:p w14:paraId="37C777A8">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"_Toc167869197" </w:instrText>
      </w:r>
      <w:r>
        <w:fldChar w:fldCharType="separate"/>
      </w:r>
      <w:r>
        <w:rPr>
          <w:rStyle w:val="20"/>
          <w:rFonts w:hint="eastAsia" w:ascii="Times New Roman" w:hAnsi="Times New Roman"/>
        </w:rPr>
        <w:t>第3节 术语</w:t>
      </w:r>
      <w:r>
        <w:tab/>
      </w:r>
      <w:r>
        <w:fldChar w:fldCharType="begin"/>
      </w:r>
      <w:r>
        <w:instrText xml:space="preserve"> PAGEREF _Toc167869197 \h </w:instrText>
      </w:r>
      <w:r>
        <w:fldChar w:fldCharType="separate"/>
      </w:r>
      <w:r>
        <w:t>2</w:t>
      </w:r>
      <w:r>
        <w:fldChar w:fldCharType="end"/>
      </w:r>
      <w:r>
        <w:fldChar w:fldCharType="end"/>
      </w:r>
    </w:p>
    <w:p w14:paraId="375680C4">
      <w:pPr>
        <w:pStyle w:val="11"/>
        <w:rPr>
          <w:rFonts w:asciiTheme="minorHAnsi" w:hAnsiTheme="minorHAnsi" w:eastAsiaTheme="minorEastAsia" w:cstheme="minorBidi"/>
          <w:szCs w:val="22"/>
        </w:rPr>
      </w:pPr>
      <w:r>
        <w:fldChar w:fldCharType="begin"/>
      </w:r>
      <w:r>
        <w:instrText xml:space="preserve"> HYPERLINK \l "_Toc167869198" </w:instrText>
      </w:r>
      <w:r>
        <w:fldChar w:fldCharType="separate"/>
      </w:r>
      <w:r>
        <w:rPr>
          <w:rStyle w:val="20"/>
          <w:rFonts w:hint="eastAsia"/>
        </w:rPr>
        <w:t>第2章 检验与发证</w:t>
      </w:r>
      <w:r>
        <w:tab/>
      </w:r>
      <w:r>
        <w:fldChar w:fldCharType="begin"/>
      </w:r>
      <w:r>
        <w:instrText xml:space="preserve"> PAGEREF _Toc167869198 \h </w:instrText>
      </w:r>
      <w:r>
        <w:fldChar w:fldCharType="separate"/>
      </w:r>
      <w:r>
        <w:t>4</w:t>
      </w:r>
      <w:r>
        <w:fldChar w:fldCharType="end"/>
      </w:r>
      <w:r>
        <w:fldChar w:fldCharType="end"/>
      </w:r>
    </w:p>
    <w:p w14:paraId="7962F6DE">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"_Toc167869199" </w:instrText>
      </w:r>
      <w:r>
        <w:fldChar w:fldCharType="separate"/>
      </w:r>
      <w:r>
        <w:rPr>
          <w:rStyle w:val="20"/>
          <w:rFonts w:hint="eastAsia" w:ascii="Times New Roman" w:hAnsi="Times New Roman"/>
        </w:rPr>
        <w:t>第1节 一般规定</w:t>
      </w:r>
      <w:r>
        <w:tab/>
      </w:r>
      <w:r>
        <w:fldChar w:fldCharType="begin"/>
      </w:r>
      <w:r>
        <w:instrText xml:space="preserve"> PAGEREF _Toc167869199 \h </w:instrText>
      </w:r>
      <w:r>
        <w:fldChar w:fldCharType="separate"/>
      </w:r>
      <w:r>
        <w:t>4</w:t>
      </w:r>
      <w:r>
        <w:fldChar w:fldCharType="end"/>
      </w:r>
      <w:r>
        <w:fldChar w:fldCharType="end"/>
      </w:r>
    </w:p>
    <w:p w14:paraId="54AD13B3">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"_Toc167869200" </w:instrText>
      </w:r>
      <w:r>
        <w:fldChar w:fldCharType="separate"/>
      </w:r>
      <w:r>
        <w:rPr>
          <w:rStyle w:val="20"/>
          <w:rFonts w:hint="eastAsia" w:ascii="Times New Roman" w:hAnsi="Times New Roman"/>
        </w:rPr>
        <w:t>第2节 检验</w:t>
      </w:r>
      <w:r>
        <w:tab/>
      </w:r>
      <w:r>
        <w:fldChar w:fldCharType="begin"/>
      </w:r>
      <w:r>
        <w:instrText xml:space="preserve"> PAGEREF _Toc167869200 \h </w:instrText>
      </w:r>
      <w:r>
        <w:fldChar w:fldCharType="separate"/>
      </w:r>
      <w:r>
        <w:t>4</w:t>
      </w:r>
      <w:r>
        <w:fldChar w:fldCharType="end"/>
      </w:r>
      <w:r>
        <w:fldChar w:fldCharType="end"/>
      </w:r>
    </w:p>
    <w:p w14:paraId="77755BC4">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"_Toc167869201" </w:instrText>
      </w:r>
      <w:r>
        <w:fldChar w:fldCharType="separate"/>
      </w:r>
      <w:r>
        <w:rPr>
          <w:rStyle w:val="20"/>
          <w:rFonts w:hint="eastAsia" w:ascii="Times New Roman" w:hAnsi="Times New Roman"/>
        </w:rPr>
        <w:t>第3节 证书</w:t>
      </w:r>
      <w:r>
        <w:tab/>
      </w:r>
      <w:r>
        <w:fldChar w:fldCharType="begin"/>
      </w:r>
      <w:r>
        <w:instrText xml:space="preserve"> PAGEREF _Toc167869201 \h </w:instrText>
      </w:r>
      <w:r>
        <w:fldChar w:fldCharType="separate"/>
      </w:r>
      <w:r>
        <w:t>7</w:t>
      </w:r>
      <w:r>
        <w:fldChar w:fldCharType="end"/>
      </w:r>
      <w:r>
        <w:fldChar w:fldCharType="end"/>
      </w:r>
    </w:p>
    <w:p w14:paraId="5285BCE4">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"_Toc167869202" </w:instrText>
      </w:r>
      <w:r>
        <w:fldChar w:fldCharType="separate"/>
      </w:r>
      <w:r>
        <w:rPr>
          <w:rStyle w:val="20"/>
          <w:rFonts w:hint="eastAsia" w:ascii="Times New Roman" w:hAnsi="宋体"/>
        </w:rPr>
        <w:t>附录</w:t>
      </w:r>
      <w:r>
        <w:rPr>
          <w:rStyle w:val="20"/>
          <w:rFonts w:ascii="Times New Roman" w:hAnsi="Times New Roman"/>
        </w:rPr>
        <w:t>1</w:t>
      </w:r>
      <w:r>
        <w:rPr>
          <w:rStyle w:val="20"/>
          <w:rFonts w:hint="eastAsia" w:ascii="Times New Roman" w:hAnsi="Times New Roman"/>
        </w:rPr>
        <w:t xml:space="preserve"> 纯电池动力船舶附页</w:t>
      </w:r>
      <w:r>
        <w:tab/>
      </w:r>
      <w:r>
        <w:fldChar w:fldCharType="begin"/>
      </w:r>
      <w:r>
        <w:instrText xml:space="preserve"> PAGEREF _Toc167869202 \h </w:instrText>
      </w:r>
      <w:r>
        <w:fldChar w:fldCharType="separate"/>
      </w:r>
      <w:r>
        <w:t>8</w:t>
      </w:r>
      <w:r>
        <w:fldChar w:fldCharType="end"/>
      </w:r>
      <w:r>
        <w:fldChar w:fldCharType="end"/>
      </w:r>
    </w:p>
    <w:p w14:paraId="0A286B96">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"_Toc167869203" </w:instrText>
      </w:r>
      <w:r>
        <w:fldChar w:fldCharType="separate"/>
      </w:r>
      <w:r>
        <w:rPr>
          <w:rStyle w:val="20"/>
          <w:rFonts w:hint="eastAsia" w:ascii="Times New Roman" w:hAnsi="宋体"/>
        </w:rPr>
        <w:t>附录</w:t>
      </w:r>
      <w:r>
        <w:rPr>
          <w:rStyle w:val="20"/>
          <w:rFonts w:ascii="Times New Roman" w:hAnsi="Times New Roman"/>
        </w:rPr>
        <w:t>2</w:t>
      </w:r>
      <w:r>
        <w:rPr>
          <w:rStyle w:val="20"/>
          <w:rFonts w:hint="eastAsia" w:ascii="Times New Roman" w:hAnsi="Times New Roman"/>
        </w:rPr>
        <w:t xml:space="preserve"> 纯电池动力船舶附页填写说明</w:t>
      </w:r>
      <w:r>
        <w:tab/>
      </w:r>
      <w:r>
        <w:fldChar w:fldCharType="begin"/>
      </w:r>
      <w:r>
        <w:instrText xml:space="preserve"> PAGEREF _Toc167869203 \h </w:instrText>
      </w:r>
      <w:r>
        <w:fldChar w:fldCharType="separate"/>
      </w:r>
      <w:r>
        <w:t>9</w:t>
      </w:r>
      <w:r>
        <w:fldChar w:fldCharType="end"/>
      </w:r>
      <w:r>
        <w:fldChar w:fldCharType="end"/>
      </w:r>
    </w:p>
    <w:p w14:paraId="5563B6B9">
      <w:pPr>
        <w:pStyle w:val="11"/>
        <w:rPr>
          <w:rFonts w:asciiTheme="minorHAnsi" w:hAnsiTheme="minorHAnsi" w:eastAsiaTheme="minorEastAsia" w:cstheme="minorBidi"/>
          <w:szCs w:val="22"/>
        </w:rPr>
      </w:pPr>
      <w:r>
        <w:fldChar w:fldCharType="begin"/>
      </w:r>
      <w:r>
        <w:instrText xml:space="preserve"> HYPERLINK \l "_Toc167869204" </w:instrText>
      </w:r>
      <w:r>
        <w:fldChar w:fldCharType="separate"/>
      </w:r>
      <w:r>
        <w:rPr>
          <w:rStyle w:val="20"/>
          <w:rFonts w:hint="eastAsia"/>
        </w:rPr>
        <w:t>第3章 船舶布置</w:t>
      </w:r>
      <w:r>
        <w:tab/>
      </w:r>
      <w:r>
        <w:fldChar w:fldCharType="begin"/>
      </w:r>
      <w:r>
        <w:instrText xml:space="preserve"> PAGEREF _Toc167869204 \h </w:instrText>
      </w:r>
      <w:r>
        <w:fldChar w:fldCharType="separate"/>
      </w:r>
      <w:r>
        <w:t>10</w:t>
      </w:r>
      <w:r>
        <w:fldChar w:fldCharType="end"/>
      </w:r>
      <w:r>
        <w:fldChar w:fldCharType="end"/>
      </w:r>
    </w:p>
    <w:p w14:paraId="4D51A9AD">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"_Toc167869205" </w:instrText>
      </w:r>
      <w:r>
        <w:fldChar w:fldCharType="separate"/>
      </w:r>
      <w:r>
        <w:rPr>
          <w:rStyle w:val="20"/>
          <w:rFonts w:hint="eastAsia" w:ascii="Times New Roman" w:hAnsi="Times New Roman"/>
        </w:rPr>
        <w:t>第1节</w:t>
      </w:r>
      <w:r>
        <w:rPr>
          <w:rStyle w:val="20"/>
          <w:rFonts w:hint="eastAsia" w:ascii="Times New Roman"/>
        </w:rPr>
        <w:t xml:space="preserve"> 一般规定</w:t>
      </w:r>
      <w:r>
        <w:tab/>
      </w:r>
      <w:r>
        <w:fldChar w:fldCharType="begin"/>
      </w:r>
      <w:r>
        <w:instrText xml:space="preserve"> PAGEREF _Toc167869205 \h </w:instrText>
      </w:r>
      <w:r>
        <w:fldChar w:fldCharType="separate"/>
      </w:r>
      <w:r>
        <w:t>10</w:t>
      </w:r>
      <w:r>
        <w:fldChar w:fldCharType="end"/>
      </w:r>
      <w:r>
        <w:fldChar w:fldCharType="end"/>
      </w:r>
    </w:p>
    <w:p w14:paraId="5DFFC1F8">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"_Toc167869206" </w:instrText>
      </w:r>
      <w:r>
        <w:fldChar w:fldCharType="separate"/>
      </w:r>
      <w:r>
        <w:rPr>
          <w:rStyle w:val="20"/>
          <w:rFonts w:hint="eastAsia" w:ascii="Times New Roman" w:hAnsi="Times New Roman"/>
        </w:rPr>
        <w:t>第2节</w:t>
      </w:r>
      <w:r>
        <w:rPr>
          <w:rStyle w:val="20"/>
          <w:rFonts w:hint="eastAsia" w:ascii="Times New Roman"/>
        </w:rPr>
        <w:t xml:space="preserve"> 蓄电池舱的布置</w:t>
      </w:r>
      <w:r>
        <w:tab/>
      </w:r>
      <w:r>
        <w:fldChar w:fldCharType="begin"/>
      </w:r>
      <w:r>
        <w:instrText xml:space="preserve"> PAGEREF _Toc167869206 \h </w:instrText>
      </w:r>
      <w:r>
        <w:fldChar w:fldCharType="separate"/>
      </w:r>
      <w:r>
        <w:t>10</w:t>
      </w:r>
      <w:r>
        <w:fldChar w:fldCharType="end"/>
      </w:r>
      <w:r>
        <w:fldChar w:fldCharType="end"/>
      </w:r>
    </w:p>
    <w:p w14:paraId="1A4ED16E">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"_Toc167869207" </w:instrText>
      </w:r>
      <w:r>
        <w:fldChar w:fldCharType="separate"/>
      </w:r>
      <w:r>
        <w:rPr>
          <w:rStyle w:val="20"/>
          <w:rFonts w:hint="eastAsia" w:ascii="Times New Roman" w:hAnsi="Times New Roman"/>
        </w:rPr>
        <w:t>第3节</w:t>
      </w:r>
      <w:r>
        <w:rPr>
          <w:rStyle w:val="20"/>
          <w:rFonts w:hint="eastAsia" w:ascii="Times New Roman"/>
        </w:rPr>
        <w:t xml:space="preserve"> 开敞甲板上蓄电池箱（柜）的布置</w:t>
      </w:r>
      <w:r>
        <w:tab/>
      </w:r>
      <w:r>
        <w:fldChar w:fldCharType="begin"/>
      </w:r>
      <w:r>
        <w:instrText xml:space="preserve"> PAGEREF _Toc167869207 \h </w:instrText>
      </w:r>
      <w:r>
        <w:fldChar w:fldCharType="separate"/>
      </w:r>
      <w:r>
        <w:t>11</w:t>
      </w:r>
      <w:r>
        <w:fldChar w:fldCharType="end"/>
      </w:r>
      <w:r>
        <w:fldChar w:fldCharType="end"/>
      </w:r>
    </w:p>
    <w:p w14:paraId="49F4E7B0">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"_Toc167869208" </w:instrText>
      </w:r>
      <w:r>
        <w:fldChar w:fldCharType="separate"/>
      </w:r>
      <w:r>
        <w:rPr>
          <w:rStyle w:val="20"/>
          <w:rFonts w:hint="eastAsia" w:ascii="Times New Roman" w:hAnsi="Times New Roman"/>
        </w:rPr>
        <w:t>第4节</w:t>
      </w:r>
      <w:r>
        <w:rPr>
          <w:rStyle w:val="20"/>
          <w:rFonts w:hint="eastAsia" w:ascii="Times New Roman"/>
        </w:rPr>
        <w:t xml:space="preserve"> 箱式电源的布置</w:t>
      </w:r>
      <w:r>
        <w:tab/>
      </w:r>
      <w:r>
        <w:fldChar w:fldCharType="begin"/>
      </w:r>
      <w:r>
        <w:instrText xml:space="preserve"> PAGEREF _Toc167869208 \h </w:instrText>
      </w:r>
      <w:r>
        <w:fldChar w:fldCharType="separate"/>
      </w:r>
      <w:r>
        <w:t>11</w:t>
      </w:r>
      <w:r>
        <w:fldChar w:fldCharType="end"/>
      </w:r>
      <w:r>
        <w:fldChar w:fldCharType="end"/>
      </w:r>
    </w:p>
    <w:p w14:paraId="1000087F">
      <w:pPr>
        <w:pStyle w:val="11"/>
        <w:rPr>
          <w:rFonts w:asciiTheme="minorHAnsi" w:hAnsiTheme="minorHAnsi" w:eastAsiaTheme="minorEastAsia" w:cstheme="minorBidi"/>
          <w:szCs w:val="22"/>
        </w:rPr>
      </w:pPr>
      <w:r>
        <w:fldChar w:fldCharType="begin"/>
      </w:r>
      <w:r>
        <w:instrText xml:space="preserve"> HYPERLINK \l "_Toc167869209" </w:instrText>
      </w:r>
      <w:r>
        <w:fldChar w:fldCharType="separate"/>
      </w:r>
      <w:r>
        <w:rPr>
          <w:rStyle w:val="20"/>
          <w:rFonts w:hint="eastAsia"/>
        </w:rPr>
        <w:t>第4章 电池系统</w:t>
      </w:r>
      <w:r>
        <w:tab/>
      </w:r>
      <w:r>
        <w:fldChar w:fldCharType="begin"/>
      </w:r>
      <w:r>
        <w:instrText xml:space="preserve"> PAGEREF _Toc167869209 \h </w:instrText>
      </w:r>
      <w:r>
        <w:fldChar w:fldCharType="separate"/>
      </w:r>
      <w:r>
        <w:t>13</w:t>
      </w:r>
      <w:r>
        <w:fldChar w:fldCharType="end"/>
      </w:r>
      <w:r>
        <w:fldChar w:fldCharType="end"/>
      </w:r>
    </w:p>
    <w:p w14:paraId="0DC340A2">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"_Toc167869210" </w:instrText>
      </w:r>
      <w:r>
        <w:fldChar w:fldCharType="separate"/>
      </w:r>
      <w:r>
        <w:rPr>
          <w:rStyle w:val="20"/>
          <w:rFonts w:hint="eastAsia" w:ascii="Times New Roman" w:hAnsi="Times New Roman"/>
        </w:rPr>
        <w:t>第1节 一般规定</w:t>
      </w:r>
      <w:r>
        <w:tab/>
      </w:r>
      <w:r>
        <w:fldChar w:fldCharType="begin"/>
      </w:r>
      <w:r>
        <w:instrText xml:space="preserve"> PAGEREF _Toc167869210 \h </w:instrText>
      </w:r>
      <w:r>
        <w:fldChar w:fldCharType="separate"/>
      </w:r>
      <w:r>
        <w:t>13</w:t>
      </w:r>
      <w:r>
        <w:fldChar w:fldCharType="end"/>
      </w:r>
      <w:r>
        <w:fldChar w:fldCharType="end"/>
      </w:r>
    </w:p>
    <w:p w14:paraId="7011B961">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"_Toc167869211" </w:instrText>
      </w:r>
      <w:r>
        <w:fldChar w:fldCharType="separate"/>
      </w:r>
      <w:r>
        <w:rPr>
          <w:rStyle w:val="20"/>
          <w:rFonts w:hint="eastAsia" w:ascii="Times New Roman" w:hAnsi="Times New Roman"/>
        </w:rPr>
        <w:t>第2节 蓄电池的配备</w:t>
      </w:r>
      <w:r>
        <w:tab/>
      </w:r>
      <w:r>
        <w:fldChar w:fldCharType="begin"/>
      </w:r>
      <w:r>
        <w:instrText xml:space="preserve"> PAGEREF _Toc167869211 \h </w:instrText>
      </w:r>
      <w:r>
        <w:fldChar w:fldCharType="separate"/>
      </w:r>
      <w:r>
        <w:t>13</w:t>
      </w:r>
      <w:r>
        <w:fldChar w:fldCharType="end"/>
      </w:r>
      <w:r>
        <w:fldChar w:fldCharType="end"/>
      </w:r>
    </w:p>
    <w:p w14:paraId="09327881">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"_Toc167869212" </w:instrText>
      </w:r>
      <w:r>
        <w:fldChar w:fldCharType="separate"/>
      </w:r>
      <w:r>
        <w:rPr>
          <w:rStyle w:val="20"/>
          <w:rFonts w:hint="eastAsia" w:ascii="Times New Roman" w:hAnsi="Times New Roman"/>
        </w:rPr>
        <w:t>第3节 电池系统的保护</w:t>
      </w:r>
      <w:r>
        <w:tab/>
      </w:r>
      <w:r>
        <w:fldChar w:fldCharType="begin"/>
      </w:r>
      <w:r>
        <w:instrText xml:space="preserve"> PAGEREF _Toc167869212 \h </w:instrText>
      </w:r>
      <w:r>
        <w:fldChar w:fldCharType="separate"/>
      </w:r>
      <w:r>
        <w:t>14</w:t>
      </w:r>
      <w:r>
        <w:fldChar w:fldCharType="end"/>
      </w:r>
      <w:r>
        <w:fldChar w:fldCharType="end"/>
      </w:r>
    </w:p>
    <w:p w14:paraId="3BFD97F8">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"_Toc167869213" </w:instrText>
      </w:r>
      <w:r>
        <w:fldChar w:fldCharType="separate"/>
      </w:r>
      <w:r>
        <w:rPr>
          <w:rStyle w:val="20"/>
          <w:rFonts w:hint="eastAsia" w:ascii="Times New Roman" w:hAnsi="Times New Roman"/>
        </w:rPr>
        <w:t>第4节 充电装置</w:t>
      </w:r>
      <w:r>
        <w:tab/>
      </w:r>
      <w:r>
        <w:fldChar w:fldCharType="begin"/>
      </w:r>
      <w:r>
        <w:instrText xml:space="preserve"> PAGEREF _Toc167869213 \h </w:instrText>
      </w:r>
      <w:r>
        <w:fldChar w:fldCharType="separate"/>
      </w:r>
      <w:r>
        <w:t>14</w:t>
      </w:r>
      <w:r>
        <w:fldChar w:fldCharType="end"/>
      </w:r>
      <w:r>
        <w:fldChar w:fldCharType="end"/>
      </w:r>
    </w:p>
    <w:p w14:paraId="5FD2396D">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"_Toc167869214" </w:instrText>
      </w:r>
      <w:r>
        <w:fldChar w:fldCharType="separate"/>
      </w:r>
      <w:r>
        <w:rPr>
          <w:rStyle w:val="20"/>
          <w:rFonts w:hint="eastAsia" w:ascii="Times New Roman" w:hAnsi="Times New Roman"/>
        </w:rPr>
        <w:t>第5节 箱式电源的要求</w:t>
      </w:r>
      <w:r>
        <w:tab/>
      </w:r>
      <w:r>
        <w:fldChar w:fldCharType="begin"/>
      </w:r>
      <w:r>
        <w:instrText xml:space="preserve"> PAGEREF _Toc167869214 \h </w:instrText>
      </w:r>
      <w:r>
        <w:fldChar w:fldCharType="separate"/>
      </w:r>
      <w:r>
        <w:t>15</w:t>
      </w:r>
      <w:r>
        <w:fldChar w:fldCharType="end"/>
      </w:r>
      <w:r>
        <w:fldChar w:fldCharType="end"/>
      </w:r>
    </w:p>
    <w:p w14:paraId="0A42794A">
      <w:pPr>
        <w:pStyle w:val="11"/>
        <w:rPr>
          <w:rFonts w:asciiTheme="minorHAnsi" w:hAnsiTheme="minorHAnsi" w:eastAsiaTheme="minorEastAsia" w:cstheme="minorBidi"/>
          <w:szCs w:val="22"/>
        </w:rPr>
      </w:pPr>
      <w:r>
        <w:fldChar w:fldCharType="begin"/>
      </w:r>
      <w:r>
        <w:instrText xml:space="preserve"> HYPERLINK \l "_Toc167869215" </w:instrText>
      </w:r>
      <w:r>
        <w:fldChar w:fldCharType="separate"/>
      </w:r>
      <w:r>
        <w:rPr>
          <w:rStyle w:val="20"/>
          <w:rFonts w:hint="eastAsia"/>
        </w:rPr>
        <w:t>第5章 配电系统</w:t>
      </w:r>
      <w:r>
        <w:tab/>
      </w:r>
      <w:r>
        <w:fldChar w:fldCharType="begin"/>
      </w:r>
      <w:r>
        <w:instrText xml:space="preserve"> PAGEREF _Toc167869215 \h </w:instrText>
      </w:r>
      <w:r>
        <w:fldChar w:fldCharType="separate"/>
      </w:r>
      <w:r>
        <w:t>16</w:t>
      </w:r>
      <w:r>
        <w:fldChar w:fldCharType="end"/>
      </w:r>
      <w:r>
        <w:fldChar w:fldCharType="end"/>
      </w:r>
    </w:p>
    <w:p w14:paraId="3F1B1CD1">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"_Toc167869216" </w:instrText>
      </w:r>
      <w:r>
        <w:fldChar w:fldCharType="separate"/>
      </w:r>
      <w:r>
        <w:rPr>
          <w:rStyle w:val="20"/>
          <w:rFonts w:hint="eastAsia" w:ascii="Times New Roman" w:hAnsi="Times New Roman"/>
        </w:rPr>
        <w:t>第1节 一般规定</w:t>
      </w:r>
      <w:r>
        <w:tab/>
      </w:r>
      <w:r>
        <w:fldChar w:fldCharType="begin"/>
      </w:r>
      <w:r>
        <w:instrText xml:space="preserve"> PAGEREF _Toc167869216 \h </w:instrText>
      </w:r>
      <w:r>
        <w:fldChar w:fldCharType="separate"/>
      </w:r>
      <w:r>
        <w:t>16</w:t>
      </w:r>
      <w:r>
        <w:fldChar w:fldCharType="end"/>
      </w:r>
      <w:r>
        <w:fldChar w:fldCharType="end"/>
      </w:r>
    </w:p>
    <w:p w14:paraId="1B163619">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"_Toc167869217" </w:instrText>
      </w:r>
      <w:r>
        <w:fldChar w:fldCharType="separate"/>
      </w:r>
      <w:r>
        <w:rPr>
          <w:rStyle w:val="20"/>
          <w:rFonts w:hint="eastAsia" w:ascii="Times New Roman" w:hAnsi="Times New Roman"/>
        </w:rPr>
        <w:t>第2节 直流配电系统</w:t>
      </w:r>
      <w:r>
        <w:tab/>
      </w:r>
      <w:r>
        <w:fldChar w:fldCharType="begin"/>
      </w:r>
      <w:r>
        <w:instrText xml:space="preserve"> PAGEREF _Toc167869217 \h </w:instrText>
      </w:r>
      <w:r>
        <w:fldChar w:fldCharType="separate"/>
      </w:r>
      <w:r>
        <w:t>16</w:t>
      </w:r>
      <w:r>
        <w:fldChar w:fldCharType="end"/>
      </w:r>
      <w:r>
        <w:fldChar w:fldCharType="end"/>
      </w:r>
    </w:p>
    <w:p w14:paraId="05E627F1">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"_Toc167869218" </w:instrText>
      </w:r>
      <w:r>
        <w:fldChar w:fldCharType="separate"/>
      </w:r>
      <w:r>
        <w:rPr>
          <w:rStyle w:val="20"/>
          <w:rFonts w:hint="eastAsia" w:ascii="Times New Roman" w:hAnsi="Times New Roman"/>
        </w:rPr>
        <w:t>第3节 交流配电系统</w:t>
      </w:r>
      <w:r>
        <w:tab/>
      </w:r>
      <w:r>
        <w:fldChar w:fldCharType="begin"/>
      </w:r>
      <w:r>
        <w:instrText xml:space="preserve"> PAGEREF _Toc167869218 \h </w:instrText>
      </w:r>
      <w:r>
        <w:fldChar w:fldCharType="separate"/>
      </w:r>
      <w:r>
        <w:t>16</w:t>
      </w:r>
      <w:r>
        <w:fldChar w:fldCharType="end"/>
      </w:r>
      <w:r>
        <w:fldChar w:fldCharType="end"/>
      </w:r>
    </w:p>
    <w:p w14:paraId="13C1DC8D">
      <w:pPr>
        <w:pStyle w:val="11"/>
        <w:rPr>
          <w:rFonts w:asciiTheme="minorHAnsi" w:hAnsiTheme="minorHAnsi" w:eastAsiaTheme="minorEastAsia" w:cstheme="minorBidi"/>
          <w:szCs w:val="22"/>
        </w:rPr>
      </w:pPr>
      <w:r>
        <w:fldChar w:fldCharType="begin"/>
      </w:r>
      <w:r>
        <w:instrText xml:space="preserve"> HYPERLINK \l "_Toc167869219" </w:instrText>
      </w:r>
      <w:r>
        <w:fldChar w:fldCharType="separate"/>
      </w:r>
      <w:r>
        <w:rPr>
          <w:rStyle w:val="20"/>
          <w:rFonts w:hint="eastAsia"/>
        </w:rPr>
        <w:t>第6章 控制、监测、报警和安全系统</w:t>
      </w:r>
      <w:r>
        <w:tab/>
      </w:r>
      <w:r>
        <w:fldChar w:fldCharType="begin"/>
      </w:r>
      <w:r>
        <w:instrText xml:space="preserve"> PAGEREF _Toc167869219 \h </w:instrText>
      </w:r>
      <w:r>
        <w:fldChar w:fldCharType="separate"/>
      </w:r>
      <w:r>
        <w:t>17</w:t>
      </w:r>
      <w:r>
        <w:fldChar w:fldCharType="end"/>
      </w:r>
      <w:r>
        <w:fldChar w:fldCharType="end"/>
      </w:r>
    </w:p>
    <w:p w14:paraId="7C9A7BDA">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"_Toc167869220" </w:instrText>
      </w:r>
      <w:r>
        <w:fldChar w:fldCharType="separate"/>
      </w:r>
      <w:r>
        <w:rPr>
          <w:rStyle w:val="20"/>
          <w:rFonts w:hint="eastAsia" w:ascii="Times New Roman" w:hAnsi="Times New Roman"/>
        </w:rPr>
        <w:t>第1节 一般规定</w:t>
      </w:r>
      <w:r>
        <w:tab/>
      </w:r>
      <w:r>
        <w:fldChar w:fldCharType="begin"/>
      </w:r>
      <w:r>
        <w:instrText xml:space="preserve"> PAGEREF _Toc167869220 \h </w:instrText>
      </w:r>
      <w:r>
        <w:fldChar w:fldCharType="separate"/>
      </w:r>
      <w:r>
        <w:t>17</w:t>
      </w:r>
      <w:r>
        <w:fldChar w:fldCharType="end"/>
      </w:r>
      <w:r>
        <w:fldChar w:fldCharType="end"/>
      </w:r>
    </w:p>
    <w:p w14:paraId="19572980">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"_Toc167869221" </w:instrText>
      </w:r>
      <w:r>
        <w:fldChar w:fldCharType="separate"/>
      </w:r>
      <w:r>
        <w:rPr>
          <w:rStyle w:val="20"/>
          <w:rFonts w:hint="eastAsia" w:ascii="Times New Roman" w:hAnsi="Times New Roman"/>
        </w:rPr>
        <w:t>第2节 船舶管理</w:t>
      </w:r>
      <w:r>
        <w:tab/>
      </w:r>
      <w:r>
        <w:fldChar w:fldCharType="begin"/>
      </w:r>
      <w:r>
        <w:instrText xml:space="preserve"> PAGEREF _Toc167869221 \h </w:instrText>
      </w:r>
      <w:r>
        <w:fldChar w:fldCharType="separate"/>
      </w:r>
      <w:r>
        <w:t>17</w:t>
      </w:r>
      <w:r>
        <w:fldChar w:fldCharType="end"/>
      </w:r>
      <w:r>
        <w:fldChar w:fldCharType="end"/>
      </w:r>
    </w:p>
    <w:p w14:paraId="43495A9A">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"_Toc167869222" </w:instrText>
      </w:r>
      <w:r>
        <w:fldChar w:fldCharType="separate"/>
      </w:r>
      <w:r>
        <w:rPr>
          <w:rStyle w:val="20"/>
          <w:rFonts w:hint="eastAsia" w:ascii="Times New Roman" w:hAnsi="Times New Roman"/>
        </w:rPr>
        <w:t>第3节 电池管理</w:t>
      </w:r>
      <w:r>
        <w:tab/>
      </w:r>
      <w:r>
        <w:fldChar w:fldCharType="begin"/>
      </w:r>
      <w:r>
        <w:instrText xml:space="preserve"> PAGEREF _Toc167869222 \h </w:instrText>
      </w:r>
      <w:r>
        <w:fldChar w:fldCharType="separate"/>
      </w:r>
      <w:r>
        <w:t>17</w:t>
      </w:r>
      <w:r>
        <w:fldChar w:fldCharType="end"/>
      </w:r>
      <w:r>
        <w:fldChar w:fldCharType="end"/>
      </w:r>
    </w:p>
    <w:p w14:paraId="34C3DFAA">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"_Toc167869223" </w:instrText>
      </w:r>
      <w:r>
        <w:fldChar w:fldCharType="separate"/>
      </w:r>
      <w:r>
        <w:rPr>
          <w:rStyle w:val="20"/>
          <w:rFonts w:hint="eastAsia" w:ascii="Times New Roman" w:hAnsi="Times New Roman"/>
        </w:rPr>
        <w:t>第4节 温度监测</w:t>
      </w:r>
      <w:r>
        <w:tab/>
      </w:r>
      <w:r>
        <w:fldChar w:fldCharType="begin"/>
      </w:r>
      <w:r>
        <w:instrText xml:space="preserve"> PAGEREF _Toc167869223 \h </w:instrText>
      </w:r>
      <w:r>
        <w:fldChar w:fldCharType="separate"/>
      </w:r>
      <w:r>
        <w:t>19</w:t>
      </w:r>
      <w:r>
        <w:fldChar w:fldCharType="end"/>
      </w:r>
      <w:r>
        <w:fldChar w:fldCharType="end"/>
      </w:r>
    </w:p>
    <w:p w14:paraId="16919F0A">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"_Toc167869224" </w:instrText>
      </w:r>
      <w:r>
        <w:fldChar w:fldCharType="separate"/>
      </w:r>
      <w:r>
        <w:rPr>
          <w:rStyle w:val="20"/>
          <w:rFonts w:hint="eastAsia" w:ascii="Times New Roman" w:hAnsi="Times New Roman"/>
        </w:rPr>
        <w:t>第5节 可燃气体探测</w:t>
      </w:r>
      <w:r>
        <w:tab/>
      </w:r>
      <w:r>
        <w:fldChar w:fldCharType="begin"/>
      </w:r>
      <w:r>
        <w:instrText xml:space="preserve"> PAGEREF _Toc167869224 \h </w:instrText>
      </w:r>
      <w:r>
        <w:fldChar w:fldCharType="separate"/>
      </w:r>
      <w:r>
        <w:t>19</w:t>
      </w:r>
      <w:r>
        <w:fldChar w:fldCharType="end"/>
      </w:r>
      <w:r>
        <w:fldChar w:fldCharType="end"/>
      </w:r>
    </w:p>
    <w:p w14:paraId="01CC364D">
      <w:pPr>
        <w:pStyle w:val="11"/>
        <w:rPr>
          <w:rFonts w:asciiTheme="minorHAnsi" w:hAnsiTheme="minorHAnsi" w:eastAsiaTheme="minorEastAsia" w:cstheme="minorBidi"/>
          <w:szCs w:val="22"/>
        </w:rPr>
      </w:pPr>
      <w:r>
        <w:fldChar w:fldCharType="begin"/>
      </w:r>
      <w:r>
        <w:instrText xml:space="preserve"> HYPERLINK \l "_Toc167869225" </w:instrText>
      </w:r>
      <w:r>
        <w:fldChar w:fldCharType="separate"/>
      </w:r>
      <w:r>
        <w:rPr>
          <w:rStyle w:val="20"/>
          <w:rFonts w:hint="eastAsia"/>
        </w:rPr>
        <w:t>第7章 温度控制、排气与排水</w:t>
      </w:r>
      <w:r>
        <w:tab/>
      </w:r>
      <w:r>
        <w:fldChar w:fldCharType="begin"/>
      </w:r>
      <w:r>
        <w:instrText xml:space="preserve"> PAGEREF _Toc167869225 \h </w:instrText>
      </w:r>
      <w:r>
        <w:fldChar w:fldCharType="separate"/>
      </w:r>
      <w:r>
        <w:t>21</w:t>
      </w:r>
      <w:r>
        <w:fldChar w:fldCharType="end"/>
      </w:r>
      <w:r>
        <w:fldChar w:fldCharType="end"/>
      </w:r>
    </w:p>
    <w:p w14:paraId="3C1B3BD9">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"_Toc167869226" </w:instrText>
      </w:r>
      <w:r>
        <w:fldChar w:fldCharType="separate"/>
      </w:r>
      <w:r>
        <w:rPr>
          <w:rStyle w:val="20"/>
          <w:rFonts w:hint="eastAsia" w:ascii="Times New Roman" w:hAnsi="Times New Roman"/>
        </w:rPr>
        <w:t>第1节 温度控制</w:t>
      </w:r>
      <w:r>
        <w:tab/>
      </w:r>
      <w:r>
        <w:fldChar w:fldCharType="begin"/>
      </w:r>
      <w:r>
        <w:instrText xml:space="preserve"> PAGEREF _Toc167869226 \h </w:instrText>
      </w:r>
      <w:r>
        <w:fldChar w:fldCharType="separate"/>
      </w:r>
      <w:r>
        <w:t>21</w:t>
      </w:r>
      <w:r>
        <w:fldChar w:fldCharType="end"/>
      </w:r>
      <w:r>
        <w:fldChar w:fldCharType="end"/>
      </w:r>
    </w:p>
    <w:p w14:paraId="3C6D94B0">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"_Toc167869227" </w:instrText>
      </w:r>
      <w:r>
        <w:fldChar w:fldCharType="separate"/>
      </w:r>
      <w:r>
        <w:rPr>
          <w:rStyle w:val="20"/>
          <w:rFonts w:hint="eastAsia" w:ascii="Times New Roman" w:hAnsi="Times New Roman"/>
        </w:rPr>
        <w:t>第2节 应急排气</w:t>
      </w:r>
      <w:r>
        <w:tab/>
      </w:r>
      <w:r>
        <w:fldChar w:fldCharType="begin"/>
      </w:r>
      <w:r>
        <w:instrText xml:space="preserve"> PAGEREF _Toc167869227 \h </w:instrText>
      </w:r>
      <w:r>
        <w:fldChar w:fldCharType="separate"/>
      </w:r>
      <w:r>
        <w:t>22</w:t>
      </w:r>
      <w:r>
        <w:fldChar w:fldCharType="end"/>
      </w:r>
      <w:r>
        <w:fldChar w:fldCharType="end"/>
      </w:r>
    </w:p>
    <w:p w14:paraId="2F3AB70F">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"_Toc167869228" </w:instrText>
      </w:r>
      <w:r>
        <w:fldChar w:fldCharType="separate"/>
      </w:r>
      <w:r>
        <w:rPr>
          <w:rStyle w:val="20"/>
          <w:rFonts w:hint="eastAsia" w:ascii="Times New Roman" w:hAnsi="Times New Roman"/>
        </w:rPr>
        <w:t>第3节 排水</w:t>
      </w:r>
      <w:r>
        <w:tab/>
      </w:r>
      <w:r>
        <w:fldChar w:fldCharType="begin"/>
      </w:r>
      <w:r>
        <w:instrText xml:space="preserve"> PAGEREF _Toc167869228 \h </w:instrText>
      </w:r>
      <w:r>
        <w:fldChar w:fldCharType="separate"/>
      </w:r>
      <w:r>
        <w:t>22</w:t>
      </w:r>
      <w:r>
        <w:fldChar w:fldCharType="end"/>
      </w:r>
      <w:r>
        <w:fldChar w:fldCharType="end"/>
      </w:r>
    </w:p>
    <w:p w14:paraId="3D1CD8E4">
      <w:pPr>
        <w:pStyle w:val="11"/>
        <w:rPr>
          <w:rFonts w:asciiTheme="minorHAnsi" w:hAnsiTheme="minorHAnsi" w:eastAsiaTheme="minorEastAsia" w:cstheme="minorBidi"/>
          <w:szCs w:val="22"/>
        </w:rPr>
      </w:pPr>
      <w:r>
        <w:fldChar w:fldCharType="begin"/>
      </w:r>
      <w:r>
        <w:instrText xml:space="preserve"> HYPERLINK \l "_Toc167869229" </w:instrText>
      </w:r>
      <w:r>
        <w:fldChar w:fldCharType="separate"/>
      </w:r>
      <w:r>
        <w:rPr>
          <w:rStyle w:val="20"/>
          <w:rFonts w:hint="eastAsia"/>
        </w:rPr>
        <w:t>第8章 消防</w:t>
      </w:r>
      <w:r>
        <w:tab/>
      </w:r>
      <w:r>
        <w:fldChar w:fldCharType="end"/>
      </w:r>
    </w:p>
    <w:p w14:paraId="67CA0D5E">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"_Toc167869230" </w:instrText>
      </w:r>
      <w:r>
        <w:fldChar w:fldCharType="separate"/>
      </w:r>
      <w:r>
        <w:rPr>
          <w:rStyle w:val="20"/>
          <w:rFonts w:hint="eastAsia" w:ascii="Times New Roman" w:hAnsi="Times New Roman"/>
        </w:rPr>
        <w:t>第1节 一般规定</w:t>
      </w:r>
      <w:r>
        <w:tab/>
      </w:r>
      <w:r>
        <w:fldChar w:fldCharType="begin"/>
      </w:r>
      <w:r>
        <w:instrText xml:space="preserve"> PAGEREF _Toc167869230 \h </w:instrText>
      </w:r>
      <w:r>
        <w:fldChar w:fldCharType="separate"/>
      </w:r>
      <w:r>
        <w:t>24</w:t>
      </w:r>
      <w:r>
        <w:fldChar w:fldCharType="end"/>
      </w:r>
      <w:r>
        <w:fldChar w:fldCharType="end"/>
      </w:r>
    </w:p>
    <w:p w14:paraId="3E6F5871">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"_Toc167869231" </w:instrText>
      </w:r>
      <w:r>
        <w:fldChar w:fldCharType="separate"/>
      </w:r>
      <w:r>
        <w:rPr>
          <w:rStyle w:val="20"/>
          <w:rFonts w:hint="eastAsia" w:ascii="Times New Roman" w:hAnsi="Times New Roman"/>
        </w:rPr>
        <w:t>第2节 火灾的限制与探测</w:t>
      </w:r>
      <w:r>
        <w:tab/>
      </w:r>
      <w:r>
        <w:fldChar w:fldCharType="begin"/>
      </w:r>
      <w:r>
        <w:instrText xml:space="preserve"> PAGEREF _Toc167869231 \h </w:instrText>
      </w:r>
      <w:r>
        <w:fldChar w:fldCharType="separate"/>
      </w:r>
      <w:r>
        <w:t>24</w:t>
      </w:r>
      <w:r>
        <w:fldChar w:fldCharType="end"/>
      </w:r>
      <w:r>
        <w:fldChar w:fldCharType="end"/>
      </w:r>
    </w:p>
    <w:p w14:paraId="6D17108E">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"_Toc167869232" </w:instrText>
      </w:r>
      <w:r>
        <w:fldChar w:fldCharType="separate"/>
      </w:r>
      <w:r>
        <w:rPr>
          <w:rStyle w:val="20"/>
          <w:rFonts w:hint="eastAsia" w:ascii="Times New Roman" w:hAnsi="Times New Roman"/>
        </w:rPr>
        <w:t>第3节 火灾抑制</w:t>
      </w:r>
      <w:r>
        <w:tab/>
      </w:r>
      <w:r>
        <w:fldChar w:fldCharType="begin"/>
      </w:r>
      <w:r>
        <w:instrText xml:space="preserve"> PAGEREF _Toc167869232 \h </w:instrText>
      </w:r>
      <w:r>
        <w:fldChar w:fldCharType="separate"/>
      </w:r>
      <w:r>
        <w:t>25</w:t>
      </w:r>
      <w:r>
        <w:fldChar w:fldCharType="end"/>
      </w:r>
      <w:r>
        <w:fldChar w:fldCharType="end"/>
      </w:r>
    </w:p>
    <w:p w14:paraId="4B6D14D1">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"_Toc167869233" </w:instrText>
      </w:r>
      <w:r>
        <w:fldChar w:fldCharType="separate"/>
      </w:r>
      <w:r>
        <w:rPr>
          <w:rStyle w:val="20"/>
          <w:rFonts w:hint="eastAsia" w:ascii="Times New Roman" w:hAnsi="Times New Roman"/>
        </w:rPr>
        <w:t>第4节 脱险</w:t>
      </w:r>
      <w:r>
        <w:tab/>
      </w:r>
      <w:r>
        <w:fldChar w:fldCharType="begin"/>
      </w:r>
      <w:r>
        <w:instrText xml:space="preserve"> PAGEREF _Toc167869233 \h </w:instrText>
      </w:r>
      <w:r>
        <w:fldChar w:fldCharType="separate"/>
      </w:r>
      <w:r>
        <w:t>27</w:t>
      </w:r>
      <w:r>
        <w:fldChar w:fldCharType="end"/>
      </w:r>
      <w:r>
        <w:fldChar w:fldCharType="end"/>
      </w:r>
    </w:p>
    <w:p w14:paraId="6CBD4539">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"_Toc167869234" </w:instrText>
      </w:r>
      <w:r>
        <w:fldChar w:fldCharType="separate"/>
      </w:r>
      <w:r>
        <w:rPr>
          <w:rStyle w:val="20"/>
          <w:rFonts w:hint="eastAsia" w:ascii="Times New Roman" w:hAnsi="Times New Roman"/>
        </w:rPr>
        <w:t>第5节 纤维增强塑料船的特殊要求</w:t>
      </w:r>
      <w:r>
        <w:tab/>
      </w:r>
      <w:r>
        <w:fldChar w:fldCharType="begin"/>
      </w:r>
      <w:r>
        <w:instrText xml:space="preserve"> PAGEREF _Toc167869234 \h </w:instrText>
      </w:r>
      <w:r>
        <w:fldChar w:fldCharType="separate"/>
      </w:r>
      <w:r>
        <w:t>27</w:t>
      </w:r>
      <w:r>
        <w:fldChar w:fldCharType="end"/>
      </w:r>
      <w:r>
        <w:fldChar w:fldCharType="end"/>
      </w:r>
    </w:p>
    <w:p w14:paraId="43C512D8">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"_Toc167869235" </w:instrText>
      </w:r>
      <w:r>
        <w:fldChar w:fldCharType="separate"/>
      </w:r>
      <w:r>
        <w:rPr>
          <w:rStyle w:val="20"/>
          <w:rFonts w:hint="eastAsia" w:ascii="Times New Roman" w:hAnsi="Times New Roman"/>
        </w:rPr>
        <w:t>第6节 箱式电源的特殊要求</w:t>
      </w:r>
      <w:r>
        <w:tab/>
      </w:r>
      <w:r>
        <w:fldChar w:fldCharType="begin"/>
      </w:r>
      <w:r>
        <w:instrText xml:space="preserve"> PAGEREF _Toc167869235 \h </w:instrText>
      </w:r>
      <w:r>
        <w:fldChar w:fldCharType="separate"/>
      </w:r>
      <w:r>
        <w:t>28</w:t>
      </w:r>
      <w:r>
        <w:fldChar w:fldCharType="end"/>
      </w:r>
      <w:r>
        <w:fldChar w:fldCharType="end"/>
      </w:r>
    </w:p>
    <w:p w14:paraId="493ED3D3">
      <w:pPr>
        <w:pStyle w:val="11"/>
        <w:rPr>
          <w:rFonts w:asciiTheme="minorHAnsi" w:hAnsiTheme="minorHAnsi" w:eastAsiaTheme="minorEastAsia" w:cstheme="minorBidi"/>
          <w:szCs w:val="22"/>
        </w:rPr>
      </w:pPr>
      <w:r>
        <w:fldChar w:fldCharType="begin"/>
      </w:r>
      <w:r>
        <w:instrText xml:space="preserve"> HYPERLINK \l "_Toc167869236" </w:instrText>
      </w:r>
      <w:r>
        <w:fldChar w:fldCharType="separate"/>
      </w:r>
      <w:r>
        <w:rPr>
          <w:rStyle w:val="20"/>
          <w:rFonts w:hint="eastAsia"/>
        </w:rPr>
        <w:t>第9章 风险评估</w:t>
      </w:r>
      <w:r>
        <w:tab/>
      </w:r>
      <w:r>
        <w:fldChar w:fldCharType="begin"/>
      </w:r>
      <w:r>
        <w:instrText xml:space="preserve"> PAGEREF _Toc167869236 \h </w:instrText>
      </w:r>
      <w:r>
        <w:fldChar w:fldCharType="separate"/>
      </w:r>
      <w:r>
        <w:t>30</w:t>
      </w:r>
      <w:r>
        <w:fldChar w:fldCharType="end"/>
      </w:r>
      <w:r>
        <w:fldChar w:fldCharType="end"/>
      </w:r>
    </w:p>
    <w:p w14:paraId="72EFB222">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"_Toc167869237" </w:instrText>
      </w:r>
      <w:r>
        <w:fldChar w:fldCharType="separate"/>
      </w:r>
      <w:r>
        <w:rPr>
          <w:rStyle w:val="20"/>
          <w:rFonts w:hint="eastAsia" w:ascii="Times New Roman" w:hAnsi="Times New Roman"/>
        </w:rPr>
        <w:t>第1节 一般规定</w:t>
      </w:r>
      <w:r>
        <w:tab/>
      </w:r>
      <w:r>
        <w:fldChar w:fldCharType="begin"/>
      </w:r>
      <w:r>
        <w:instrText xml:space="preserve"> PAGEREF _Toc167869237 \h </w:instrText>
      </w:r>
      <w:r>
        <w:fldChar w:fldCharType="separate"/>
      </w:r>
      <w:r>
        <w:t>30</w:t>
      </w:r>
      <w:r>
        <w:fldChar w:fldCharType="end"/>
      </w:r>
      <w:r>
        <w:fldChar w:fldCharType="end"/>
      </w:r>
    </w:p>
    <w:p w14:paraId="12A8773C">
      <w:pPr>
        <w:pStyle w:val="11"/>
        <w:rPr>
          <w:rFonts w:asciiTheme="minorHAnsi" w:hAnsiTheme="minorHAnsi" w:eastAsiaTheme="minorEastAsia" w:cstheme="minorBidi"/>
          <w:szCs w:val="22"/>
        </w:rPr>
      </w:pPr>
      <w:r>
        <w:fldChar w:fldCharType="begin"/>
      </w:r>
      <w:r>
        <w:instrText xml:space="preserve"> HYPERLINK \l "_Toc167869238" </w:instrText>
      </w:r>
      <w:r>
        <w:fldChar w:fldCharType="separate"/>
      </w:r>
      <w:r>
        <w:rPr>
          <w:rStyle w:val="20"/>
          <w:rFonts w:hint="eastAsia"/>
        </w:rPr>
        <w:t>第10章 试验</w:t>
      </w:r>
      <w:r>
        <w:tab/>
      </w:r>
      <w:r>
        <w:fldChar w:fldCharType="begin"/>
      </w:r>
      <w:r>
        <w:instrText xml:space="preserve"> PAGEREF _Toc167869238 \h </w:instrText>
      </w:r>
      <w:r>
        <w:fldChar w:fldCharType="separate"/>
      </w:r>
      <w:r>
        <w:t>32</w:t>
      </w:r>
      <w:r>
        <w:fldChar w:fldCharType="end"/>
      </w:r>
      <w:r>
        <w:fldChar w:fldCharType="end"/>
      </w:r>
    </w:p>
    <w:p w14:paraId="0518B5F2">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"_Toc167869239" </w:instrText>
      </w:r>
      <w:r>
        <w:fldChar w:fldCharType="separate"/>
      </w:r>
      <w:r>
        <w:rPr>
          <w:rStyle w:val="20"/>
          <w:rFonts w:hint="eastAsia" w:ascii="Times New Roman" w:hAnsi="Times New Roman"/>
        </w:rPr>
        <w:t>第1节 一般规定</w:t>
      </w:r>
      <w:r>
        <w:tab/>
      </w:r>
      <w:r>
        <w:fldChar w:fldCharType="begin"/>
      </w:r>
      <w:r>
        <w:instrText xml:space="preserve"> PAGEREF _Toc167869239 \h </w:instrText>
      </w:r>
      <w:r>
        <w:fldChar w:fldCharType="separate"/>
      </w:r>
      <w:r>
        <w:t>32</w:t>
      </w:r>
      <w:r>
        <w:fldChar w:fldCharType="end"/>
      </w:r>
      <w:r>
        <w:fldChar w:fldCharType="end"/>
      </w:r>
    </w:p>
    <w:p w14:paraId="166C827E">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"_Toc167869240" </w:instrText>
      </w:r>
      <w:r>
        <w:fldChar w:fldCharType="separate"/>
      </w:r>
      <w:r>
        <w:rPr>
          <w:rStyle w:val="20"/>
          <w:rFonts w:hint="eastAsia" w:ascii="Times New Roman" w:hAnsi="Times New Roman"/>
        </w:rPr>
        <w:t>第2节 陆上联调</w:t>
      </w:r>
      <w:r>
        <w:tab/>
      </w:r>
      <w:r>
        <w:fldChar w:fldCharType="begin"/>
      </w:r>
      <w:r>
        <w:instrText xml:space="preserve"> PAGEREF _Toc167869240 \h </w:instrText>
      </w:r>
      <w:r>
        <w:fldChar w:fldCharType="separate"/>
      </w:r>
      <w:r>
        <w:t>32</w:t>
      </w:r>
      <w:r>
        <w:fldChar w:fldCharType="end"/>
      </w:r>
      <w:r>
        <w:fldChar w:fldCharType="end"/>
      </w:r>
    </w:p>
    <w:p w14:paraId="3AB57CDA">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"_Toc167869241" </w:instrText>
      </w:r>
      <w:r>
        <w:fldChar w:fldCharType="separate"/>
      </w:r>
      <w:r>
        <w:rPr>
          <w:rStyle w:val="20"/>
          <w:rFonts w:hint="eastAsia" w:ascii="Times New Roman" w:hAnsi="Times New Roman"/>
        </w:rPr>
        <w:t>第3节 系泊试验</w:t>
      </w:r>
      <w:r>
        <w:tab/>
      </w:r>
      <w:r>
        <w:fldChar w:fldCharType="begin"/>
      </w:r>
      <w:r>
        <w:instrText xml:space="preserve"> PAGEREF _Toc167869241 \h </w:instrText>
      </w:r>
      <w:r>
        <w:fldChar w:fldCharType="separate"/>
      </w:r>
      <w:r>
        <w:t>32</w:t>
      </w:r>
      <w:r>
        <w:fldChar w:fldCharType="end"/>
      </w:r>
      <w:r>
        <w:fldChar w:fldCharType="end"/>
      </w:r>
    </w:p>
    <w:p w14:paraId="489714E7">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"_Toc167869242" </w:instrText>
      </w:r>
      <w:r>
        <w:fldChar w:fldCharType="separate"/>
      </w:r>
      <w:r>
        <w:rPr>
          <w:rStyle w:val="20"/>
          <w:rFonts w:hint="eastAsia" w:ascii="Times New Roman" w:hAnsi="Times New Roman"/>
        </w:rPr>
        <w:t>第4节 航行试验</w:t>
      </w:r>
      <w:r>
        <w:tab/>
      </w:r>
      <w:r>
        <w:fldChar w:fldCharType="begin"/>
      </w:r>
      <w:r>
        <w:instrText xml:space="preserve"> PAGEREF _Toc167869242 \h </w:instrText>
      </w:r>
      <w:r>
        <w:fldChar w:fldCharType="separate"/>
      </w:r>
      <w:r>
        <w:t>32</w:t>
      </w:r>
      <w:r>
        <w:fldChar w:fldCharType="end"/>
      </w:r>
      <w:r>
        <w:fldChar w:fldCharType="end"/>
      </w:r>
    </w:p>
    <w:p w14:paraId="01A53217">
      <w:pPr>
        <w:pStyle w:val="11"/>
        <w:rPr>
          <w:rFonts w:asciiTheme="minorHAnsi" w:hAnsiTheme="minorHAnsi" w:eastAsiaTheme="minorEastAsia" w:cstheme="minorBidi"/>
          <w:szCs w:val="22"/>
        </w:rPr>
      </w:pPr>
      <w:r>
        <w:fldChar w:fldCharType="begin"/>
      </w:r>
      <w:r>
        <w:instrText xml:space="preserve"> HYPERLINK \l "_Toc167869243" </w:instrText>
      </w:r>
      <w:r>
        <w:fldChar w:fldCharType="separate"/>
      </w:r>
      <w:r>
        <w:rPr>
          <w:rStyle w:val="20"/>
          <w:rFonts w:hint="eastAsia"/>
        </w:rPr>
        <w:t>第11章 操作和维护要求</w:t>
      </w:r>
      <w:r>
        <w:tab/>
      </w:r>
      <w:r>
        <w:fldChar w:fldCharType="begin"/>
      </w:r>
      <w:r>
        <w:instrText xml:space="preserve"> PAGEREF _Toc167869243 \h </w:instrText>
      </w:r>
      <w:r>
        <w:fldChar w:fldCharType="separate"/>
      </w:r>
      <w:r>
        <w:t>33</w:t>
      </w:r>
      <w:r>
        <w:fldChar w:fldCharType="end"/>
      </w:r>
      <w:r>
        <w:fldChar w:fldCharType="end"/>
      </w:r>
    </w:p>
    <w:p w14:paraId="22B9F5B3">
      <w:pPr>
        <w:pStyle w:val="13"/>
        <w:tabs>
          <w:tab w:val="right" w:leader="dot" w:pos="8296"/>
        </w:tabs>
        <w:ind w:firstLine="420"/>
        <w:rPr>
          <w:rFonts w:asciiTheme="minorHAnsi" w:hAnsiTheme="minorHAnsi" w:eastAsiaTheme="minorEastAsia" w:cstheme="minorBidi"/>
        </w:rPr>
      </w:pPr>
      <w:r>
        <w:fldChar w:fldCharType="begin"/>
      </w:r>
      <w:r>
        <w:instrText xml:space="preserve"> HYPERLINK \l "_Toc167869244" </w:instrText>
      </w:r>
      <w:r>
        <w:fldChar w:fldCharType="separate"/>
      </w:r>
      <w:r>
        <w:rPr>
          <w:rStyle w:val="20"/>
          <w:rFonts w:hint="eastAsia" w:ascii="Times New Roman" w:hAnsi="Times New Roman"/>
        </w:rPr>
        <w:t>第1节 一般规定</w:t>
      </w:r>
      <w:r>
        <w:tab/>
      </w:r>
      <w:r>
        <w:fldChar w:fldCharType="begin"/>
      </w:r>
      <w:r>
        <w:instrText xml:space="preserve"> PAGEREF _Toc167869244 \h </w:instrText>
      </w:r>
      <w:r>
        <w:fldChar w:fldCharType="separate"/>
      </w:r>
      <w:r>
        <w:t>33</w:t>
      </w:r>
      <w:r>
        <w:fldChar w:fldCharType="end"/>
      </w:r>
      <w:r>
        <w:fldChar w:fldCharType="end"/>
      </w:r>
    </w:p>
    <w:p w14:paraId="177B34CF">
      <w:pPr>
        <w:pStyle w:val="11"/>
        <w:rPr>
          <w:color w:val="000000" w:themeColor="text1"/>
          <w14:textFill>
            <w14:solidFill>
              <w14:schemeClr w14:val="tx1"/>
            </w14:solidFill>
          </w14:textFill>
        </w:rPr>
      </w:pPr>
      <w:r>
        <w:rPr>
          <w:color w:val="000000" w:themeColor="text1"/>
          <w14:textFill>
            <w14:solidFill>
              <w14:schemeClr w14:val="tx1"/>
            </w14:solidFill>
          </w14:textFill>
        </w:rPr>
        <w:fldChar w:fldCharType="end"/>
      </w:r>
    </w:p>
    <w:p w14:paraId="6A9851C3">
      <w:pPr>
        <w:rPr>
          <w:rFonts w:ascii="Times New Roman" w:hAnsi="Times New Roman" w:cs="Times New Roman"/>
          <w:color w:val="000000" w:themeColor="text1"/>
          <w14:textFill>
            <w14:solidFill>
              <w14:schemeClr w14:val="tx1"/>
            </w14:solidFill>
          </w14:textFill>
        </w:rPr>
        <w:sectPr>
          <w:footerReference r:id="rId5" w:type="default"/>
          <w:footnotePr>
            <w:numFmt w:val="decimalEnclosedCircleChinese"/>
            <w:numRestart w:val="eachPage"/>
          </w:footnotePr>
          <w:pgSz w:w="11906" w:h="16838"/>
          <w:pgMar w:top="1440" w:right="1800" w:bottom="1440" w:left="1800" w:header="851" w:footer="992" w:gutter="0"/>
          <w:pgNumType w:fmt="upperRoman" w:start="1"/>
          <w:cols w:space="720" w:num="1"/>
          <w:docGrid w:type="lines" w:linePitch="312" w:charSpace="0"/>
        </w:sectPr>
      </w:pPr>
    </w:p>
    <w:p w14:paraId="3299093B">
      <w:pPr>
        <w:pStyle w:val="25"/>
        <w:numPr>
          <w:ilvl w:val="0"/>
          <w:numId w:val="17"/>
        </w:numPr>
        <w:spacing w:before="312"/>
        <w:rPr>
          <w:rFonts w:ascii="Times New Roman" w:hAnsi="Times New Roman" w:cs="Times New Roman"/>
          <w:color w:val="000000" w:themeColor="text1"/>
          <w14:textFill>
            <w14:solidFill>
              <w14:schemeClr w14:val="tx1"/>
            </w14:solidFill>
          </w14:textFill>
        </w:rPr>
      </w:pPr>
      <w:bookmarkStart w:id="30" w:name="_Toc167869194"/>
      <w:r>
        <w:rPr>
          <w:rFonts w:hint="eastAsia" w:ascii="Times New Roman" w:hAnsi="Times New Roman" w:cs="Times New Roman"/>
          <w:color w:val="000000" w:themeColor="text1"/>
          <w14:textFill>
            <w14:solidFill>
              <w14:schemeClr w14:val="tx1"/>
            </w14:solidFill>
          </w14:textFill>
        </w:rPr>
        <w:t>通则</w:t>
      </w:r>
      <w:bookmarkEnd w:id="30"/>
    </w:p>
    <w:p w14:paraId="6EC3CF9D">
      <w:pPr>
        <w:pStyle w:val="27"/>
        <w:numPr>
          <w:ilvl w:val="1"/>
          <w:numId w:val="17"/>
        </w:numPr>
        <w:spacing w:before="312" w:after="312"/>
        <w:rPr>
          <w:rFonts w:ascii="Times New Roman" w:hAnsi="Times New Roman" w:cs="Times New Roman"/>
          <w:color w:val="000000" w:themeColor="text1"/>
          <w14:textFill>
            <w14:solidFill>
              <w14:schemeClr w14:val="tx1"/>
            </w14:solidFill>
          </w14:textFill>
        </w:rPr>
      </w:pPr>
      <w:bookmarkStart w:id="31" w:name="_Toc167869195"/>
      <w:r>
        <w:rPr>
          <w:rFonts w:hint="eastAsia" w:ascii="Times New Roman" w:hAnsi="Times New Roman" w:cs="Times New Roman"/>
          <w:color w:val="000000" w:themeColor="text1"/>
          <w14:textFill>
            <w14:solidFill>
              <w14:schemeClr w14:val="tx1"/>
            </w14:solidFill>
          </w14:textFill>
        </w:rPr>
        <w:t>目的与应用</w:t>
      </w:r>
      <w:bookmarkEnd w:id="31"/>
    </w:p>
    <w:p w14:paraId="2D13C72B">
      <w:pPr>
        <w:pStyle w:val="41"/>
        <w:keepNext w:val="0"/>
        <w:keepLines w:val="0"/>
        <w:numPr>
          <w:ilvl w:val="2"/>
          <w:numId w:val="17"/>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ascii="Times New Roman" w:hAnsi="Times New Roman" w:eastAsia="黑体"/>
          <w:color w:val="000000" w:themeColor="text1"/>
          <w14:textFill>
            <w14:solidFill>
              <w14:schemeClr w14:val="tx1"/>
            </w14:solidFill>
          </w14:textFill>
        </w:rPr>
        <w:t>目的</w:t>
      </w:r>
    </w:p>
    <w:p w14:paraId="5AC32CFB">
      <w:pPr>
        <w:pStyle w:val="53"/>
        <w:numPr>
          <w:ilvl w:val="3"/>
          <w:numId w:val="17"/>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为贯彻中华人民共和国相关法律和行政法规，保障</w:t>
      </w:r>
      <w:r>
        <w:rPr>
          <w:rFonts w:hint="eastAsia"/>
          <w:color w:val="000000" w:themeColor="text1"/>
          <w14:textFill>
            <w14:solidFill>
              <w14:schemeClr w14:val="tx1"/>
            </w14:solidFill>
          </w14:textFill>
        </w:rPr>
        <w:t>纯</w:t>
      </w:r>
      <w:r>
        <w:rPr>
          <w:color w:val="000000" w:themeColor="text1"/>
          <w14:textFill>
            <w14:solidFill>
              <w14:schemeClr w14:val="tx1"/>
            </w14:solidFill>
          </w14:textFill>
        </w:rPr>
        <w:t>电池动力船舶</w:t>
      </w:r>
      <w:r>
        <w:rPr>
          <w:rFonts w:hint="eastAsia"/>
          <w:color w:val="000000" w:themeColor="text1"/>
          <w14:textFill>
            <w14:solidFill>
              <w14:schemeClr w14:val="tx1"/>
            </w14:solidFill>
          </w14:textFill>
        </w:rPr>
        <w:t>具有安全航行和作业的能力</w:t>
      </w:r>
      <w:r>
        <w:rPr>
          <w:color w:val="000000" w:themeColor="text1"/>
          <w14:textFill>
            <w14:solidFill>
              <w14:schemeClr w14:val="tx1"/>
            </w14:solidFill>
          </w14:textFill>
        </w:rPr>
        <w:t>，制定《</w:t>
      </w:r>
      <w:r>
        <w:rPr>
          <w:rFonts w:hint="eastAsia"/>
          <w:color w:val="000000" w:themeColor="text1"/>
          <w14:textFill>
            <w14:solidFill>
              <w14:schemeClr w14:val="tx1"/>
            </w14:solidFill>
          </w14:textFill>
        </w:rPr>
        <w:t>纯</w:t>
      </w:r>
      <w:r>
        <w:rPr>
          <w:color w:val="000000" w:themeColor="text1"/>
          <w14:textFill>
            <w14:solidFill>
              <w14:schemeClr w14:val="tx1"/>
            </w14:solidFill>
          </w14:textFill>
        </w:rPr>
        <w:t>电池动力船舶技术与检验暂行规则》（以下简称本规则）。</w:t>
      </w:r>
    </w:p>
    <w:p w14:paraId="24BDB2D8">
      <w:pPr>
        <w:pStyle w:val="41"/>
        <w:keepNext w:val="0"/>
        <w:keepLines w:val="0"/>
        <w:numPr>
          <w:ilvl w:val="2"/>
          <w:numId w:val="17"/>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ascii="Times New Roman" w:hAnsi="Times New Roman" w:eastAsia="黑体"/>
          <w:color w:val="000000" w:themeColor="text1"/>
          <w14:textFill>
            <w14:solidFill>
              <w14:schemeClr w14:val="tx1"/>
            </w14:solidFill>
          </w14:textFill>
        </w:rPr>
        <w:t>适用范围</w:t>
      </w:r>
    </w:p>
    <w:p w14:paraId="46A348C3">
      <w:pPr>
        <w:pStyle w:val="53"/>
        <w:numPr>
          <w:ilvl w:val="3"/>
          <w:numId w:val="17"/>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本规则适用于船长大于等于5m的仅采用蓄电池作为推进动力源和主电源的中国籍船舶（以下简称纯电池动力船舶）。</w:t>
      </w:r>
    </w:p>
    <w:p w14:paraId="01D2471F">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除另有规定外，本规则所述蓄电池包含锂离子蓄电池和能量型超级电容器，且锂离子蓄电池仅限于磷酸铁锂电池（磷酸铁锂软包电池除外）。</w:t>
      </w:r>
    </w:p>
    <w:p w14:paraId="14BE6E8C">
      <w:pPr>
        <w:pStyle w:val="53"/>
        <w:numPr>
          <w:ilvl w:val="3"/>
          <w:numId w:val="17"/>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本规则适用于</w:t>
      </w:r>
      <w:r>
        <w:rPr>
          <w:rFonts w:hint="eastAsia"/>
          <w:snapToGrid w:val="0"/>
          <w:color w:val="000000" w:themeColor="text1"/>
          <w14:textFill>
            <w14:solidFill>
              <w14:schemeClr w14:val="tx1"/>
            </w14:solidFill>
          </w14:textFill>
        </w:rPr>
        <w:t>钢质船舶、铝合金船舶和船长小于20m的纤维增强塑料船舶。</w:t>
      </w:r>
    </w:p>
    <w:p w14:paraId="1BDC3DAA">
      <w:pPr>
        <w:pStyle w:val="53"/>
        <w:numPr>
          <w:ilvl w:val="3"/>
          <w:numId w:val="17"/>
        </w:numPr>
        <w:spacing w:line="240" w:lineRule="auto"/>
        <w:ind w:left="0" w:firstLine="420" w:firstLineChars="200"/>
        <w:rPr>
          <w:rFonts w:hint="eastAsia" w:ascii="黑体" w:hAnsi="黑体" w:eastAsia="黑体"/>
          <w:color w:val="000000" w:themeColor="text1"/>
          <w14:textFill>
            <w14:solidFill>
              <w14:schemeClr w14:val="tx1"/>
            </w14:solidFill>
          </w14:textFill>
        </w:rPr>
      </w:pPr>
      <w:r>
        <w:rPr>
          <w:color w:val="000000" w:themeColor="text1"/>
          <w14:textFill>
            <w14:solidFill>
              <w14:schemeClr w14:val="tx1"/>
            </w14:solidFill>
          </w14:textFill>
        </w:rPr>
        <w:t>本规则不适用于军用舰艇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体育运动船艇</w:t>
      </w:r>
      <w:r>
        <w:rPr>
          <w:rFonts w:hint="eastAsia"/>
          <w:color w:val="000000" w:themeColor="text1"/>
          <w14:textFill>
            <w14:solidFill>
              <w14:schemeClr w14:val="tx1"/>
            </w14:solidFill>
          </w14:textFill>
        </w:rPr>
        <w:t>。</w:t>
      </w:r>
    </w:p>
    <w:p w14:paraId="6AE479C5">
      <w:pPr>
        <w:pStyle w:val="41"/>
        <w:keepNext w:val="0"/>
        <w:keepLines w:val="0"/>
        <w:numPr>
          <w:ilvl w:val="2"/>
          <w:numId w:val="17"/>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施行与</w:t>
      </w:r>
      <w:r>
        <w:rPr>
          <w:rFonts w:ascii="Times New Roman" w:hAnsi="Times New Roman" w:eastAsia="黑体"/>
          <w:color w:val="000000" w:themeColor="text1"/>
          <w14:textFill>
            <w14:solidFill>
              <w14:schemeClr w14:val="tx1"/>
            </w14:solidFill>
          </w14:textFill>
        </w:rPr>
        <w:t>应用</w:t>
      </w:r>
    </w:p>
    <w:p w14:paraId="10BF198C">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本规则自202X年X月X日起施行。</w:t>
      </w:r>
    </w:p>
    <w:p w14:paraId="531865CF">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除另有规定外，本规则适用于施行之日及以后安放龙骨或处于类似建造阶段的船舶。</w:t>
      </w:r>
    </w:p>
    <w:p w14:paraId="3A59278C">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除本规则明确要求外，纯</w:t>
      </w:r>
      <w:r>
        <w:rPr>
          <w:color w:val="000000" w:themeColor="text1"/>
          <w14:textFill>
            <w14:solidFill>
              <w14:schemeClr w14:val="tx1"/>
            </w14:solidFill>
          </w14:textFill>
        </w:rPr>
        <w:t>电池</w:t>
      </w:r>
      <w:r>
        <w:rPr>
          <w:rFonts w:hint="eastAsia"/>
          <w:color w:val="000000" w:themeColor="text1"/>
          <w14:textFill>
            <w14:solidFill>
              <w14:schemeClr w14:val="tx1"/>
            </w14:solidFill>
          </w14:textFill>
        </w:rPr>
        <w:t>动力船舶尚应满足中华人民共和国海事局（以下简称本局）对船舶航行水域适用的规则的有关要求。</w:t>
      </w:r>
    </w:p>
    <w:p w14:paraId="3E716C86">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rPr>
        <w:t>本规则施行后</w:t>
      </w:r>
      <w:r>
        <w:t>，替代</w:t>
      </w:r>
      <w:r>
        <w:rPr>
          <w:rFonts w:hint="eastAsia"/>
        </w:rPr>
        <w:t>本局</w:t>
      </w:r>
      <w:r>
        <w:rPr>
          <w:rFonts w:hint="eastAsia"/>
          <w:color w:val="000000" w:themeColor="text1"/>
          <w14:textFill>
            <w14:solidFill>
              <w14:schemeClr w14:val="tx1"/>
            </w14:solidFill>
          </w14:textFill>
        </w:rPr>
        <w:t>对船舶航行水域适用的规则</w:t>
      </w:r>
      <w:r>
        <w:t>中涉及</w:t>
      </w:r>
      <w:r>
        <w:rPr>
          <w:rFonts w:hint="eastAsia"/>
        </w:rPr>
        <w:t>磷酸铁锂</w:t>
      </w:r>
      <w:r>
        <w:t>电池的相关要求</w:t>
      </w:r>
      <w:r>
        <w:rPr>
          <w:rFonts w:hint="eastAsia"/>
        </w:rPr>
        <w:t>。</w:t>
      </w:r>
    </w:p>
    <w:p w14:paraId="100DC4B2">
      <w:pPr>
        <w:pStyle w:val="53"/>
        <w:numPr>
          <w:ilvl w:val="3"/>
          <w:numId w:val="17"/>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除本规则明确规定者外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纯电池动力船舶尚应满足本局按规定程序认可</w:t>
      </w:r>
      <w:r>
        <w:rPr>
          <w:rFonts w:hint="eastAsia"/>
          <w:color w:val="000000" w:themeColor="text1"/>
          <w14:textFill>
            <w14:solidFill>
              <w14:schemeClr w14:val="tx1"/>
            </w14:solidFill>
          </w14:textFill>
        </w:rPr>
        <w:t>和公布的中国船级社《船舶应用电池动力规范</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》及其修改通报中适用于安全等级为2的蓄电池的相关要求，但该规范1.1.3.5、1.1.5、第3章第3节的要求除外。</w:t>
      </w:r>
    </w:p>
    <w:p w14:paraId="76629F58">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如其他动力船舶改造为纯电池动力船舶，应视为重大改建，其改建及相关部分应满足本规则的要求。</w:t>
      </w:r>
    </w:p>
    <w:p w14:paraId="652937A5">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现有纯电池动力船舶重大改建时，其改建及相关部分应按建造检验的要求进行检验。</w:t>
      </w:r>
    </w:p>
    <w:p w14:paraId="15658FED">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现有纯电池动力船舶存在下列改建情况之一的，也应视为重大改建：</w:t>
      </w:r>
    </w:p>
    <w:p w14:paraId="2FD51EEC">
      <w:pPr>
        <w:pStyle w:val="53"/>
        <w:spacing w:line="240" w:lineRule="auto"/>
        <w:ind w:left="42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（1）电池系统（箱式电源除外）总电量变化超过10%或电池簇数量发生变化；</w:t>
      </w:r>
    </w:p>
    <w:p w14:paraId="0155774B">
      <w:pPr>
        <w:pStyle w:val="53"/>
        <w:spacing w:line="240" w:lineRule="auto"/>
        <w:ind w:left="42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（2）箱式电源单箱电量变化超过</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或箱内电池簇数量发生变化；</w:t>
      </w:r>
    </w:p>
    <w:p w14:paraId="3BACA00A">
      <w:pPr>
        <w:pStyle w:val="53"/>
        <w:spacing w:line="240" w:lineRule="auto"/>
        <w:ind w:left="42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（3）箱式电源最大设计数量发生变化。</w:t>
      </w:r>
    </w:p>
    <w:p w14:paraId="2B593D2B">
      <w:pPr>
        <w:pStyle w:val="41"/>
        <w:keepNext w:val="0"/>
        <w:keepLines w:val="0"/>
        <w:numPr>
          <w:ilvl w:val="2"/>
          <w:numId w:val="17"/>
        </w:numPr>
        <w:adjustRightInd w:val="0"/>
        <w:snapToGrid w:val="0"/>
        <w:spacing w:before="312" w:line="360" w:lineRule="auto"/>
        <w:ind w:firstLine="420" w:firstLineChars="200"/>
        <w:jc w:val="left"/>
        <w:rPr>
          <w:rFonts w:ascii="Times New Roman" w:hAnsi="Times New Roman"/>
          <w:color w:val="000000" w:themeColor="text1"/>
          <w14:textFill>
            <w14:solidFill>
              <w14:schemeClr w14:val="tx1"/>
            </w14:solidFill>
          </w14:textFill>
        </w:rPr>
      </w:pPr>
      <w:r>
        <w:rPr>
          <w:rFonts w:ascii="Times New Roman" w:hAnsi="Times New Roman" w:eastAsia="黑体"/>
          <w:color w:val="000000" w:themeColor="text1"/>
          <w14:textFill>
            <w14:solidFill>
              <w14:schemeClr w14:val="tx1"/>
            </w14:solidFill>
          </w14:textFill>
        </w:rPr>
        <w:t>解释</w:t>
      </w:r>
    </w:p>
    <w:p w14:paraId="24B01815">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本规则由本局负责解释。</w:t>
      </w:r>
    </w:p>
    <w:p w14:paraId="4F22C7F9">
      <w:pPr>
        <w:pStyle w:val="27"/>
        <w:numPr>
          <w:ilvl w:val="1"/>
          <w:numId w:val="17"/>
        </w:numPr>
        <w:spacing w:before="312" w:after="312"/>
        <w:rPr>
          <w:rFonts w:ascii="Times New Roman" w:hAnsi="Times New Roman" w:cs="Times New Roman"/>
          <w:color w:val="000000" w:themeColor="text1"/>
          <w14:textFill>
            <w14:solidFill>
              <w14:schemeClr w14:val="tx1"/>
            </w14:solidFill>
          </w14:textFill>
        </w:rPr>
      </w:pPr>
      <w:bookmarkStart w:id="32" w:name="_Toc167869196"/>
      <w:r>
        <w:rPr>
          <w:rFonts w:hint="eastAsia" w:ascii="Times New Roman" w:hAnsi="Times New Roman" w:cs="Times New Roman"/>
          <w:color w:val="000000" w:themeColor="text1"/>
          <w14:textFill>
            <w14:solidFill>
              <w14:schemeClr w14:val="tx1"/>
            </w14:solidFill>
          </w14:textFill>
        </w:rPr>
        <w:t>替代设计和风险评估</w:t>
      </w:r>
      <w:bookmarkEnd w:id="32"/>
    </w:p>
    <w:p w14:paraId="338C1B61">
      <w:pPr>
        <w:pStyle w:val="41"/>
        <w:keepNext w:val="0"/>
        <w:keepLines w:val="0"/>
        <w:numPr>
          <w:ilvl w:val="2"/>
          <w:numId w:val="17"/>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等效免除与替代设计</w:t>
      </w:r>
    </w:p>
    <w:p w14:paraId="5B841672">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本规则要求船上所应装设或配备的专门装置、材料、设备或器具，或其型式，或本规则要求应设置的任何专门设施，本局可准许该船上装设或配备任何其他的装置、材料、设备或器具，或其型式，或设置任何其他的设施，但应通过试验或其他方法认定这些装置、材料、设备或器具，或其型式，或其他设施，至少与本规则所要求者具有同等效能。</w:t>
      </w:r>
    </w:p>
    <w:p w14:paraId="335BD6BB">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除另有明确规定者外，本局不允许采用操作方法和程序来取代本规则特定的附件、材料、器具、仪器、设备的部件或其型式。</w:t>
      </w:r>
    </w:p>
    <w:p w14:paraId="1DA9C589">
      <w:pPr>
        <w:pStyle w:val="53"/>
        <w:numPr>
          <w:ilvl w:val="3"/>
          <w:numId w:val="17"/>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对于具有新颖特征的船舶，如应用本规则有关章节的规定会严重妨碍对发展这种特征的研究和在船舶上对这些特征的采用时，本局基于对相关特性和措施的技术评估，其结果表明该船舶适合于预定的用途，并能保证其安全，则可免除本规则有关章节的规定要求。</w:t>
      </w:r>
    </w:p>
    <w:p w14:paraId="00F87E27">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应用本规则相关章节时，如采用替代设计方法，应执行本局《国际航行海船法定检验技术规则（2019年修改通报）》总则附录中的“船舶替代设计实施要求”，并考虑本局《国际航行海船法定检验技术规则（2014）》相关篇章引用的国际海事组织相关指南，确保满足相关篇章规定的替代设计的要求。</w:t>
      </w:r>
    </w:p>
    <w:p w14:paraId="3CFD7F24">
      <w:pPr>
        <w:pStyle w:val="41"/>
        <w:keepNext w:val="0"/>
        <w:keepLines w:val="0"/>
        <w:numPr>
          <w:ilvl w:val="2"/>
          <w:numId w:val="17"/>
        </w:numPr>
        <w:adjustRightInd w:val="0"/>
        <w:snapToGrid w:val="0"/>
        <w:spacing w:before="312" w:line="360" w:lineRule="auto"/>
        <w:ind w:firstLine="420" w:firstLineChars="200"/>
        <w:jc w:val="left"/>
        <w:rPr>
          <w:rFonts w:ascii="Times New Roman" w:hAnsi="Times New Roman"/>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风险</w:t>
      </w:r>
      <w:r>
        <w:rPr>
          <w:rFonts w:hint="eastAsia" w:ascii="Times New Roman" w:hAnsi="Times New Roman" w:eastAsia="黑体"/>
          <w:color w:val="000000" w:themeColor="text1"/>
          <w14:textFill>
            <w14:solidFill>
              <w14:schemeClr w14:val="tx1"/>
            </w14:solidFill>
          </w14:textFill>
        </w:rPr>
        <w:t>评估</w:t>
      </w:r>
    </w:p>
    <w:p w14:paraId="2DC25287">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尽管本规则有详细规定，但应对船舶应用电池作为动力而带来的所有潜在风险（包括但不限于电池系统、配电系统和推进系统）进行风险评估，必要时应提出风险缓解措施。</w:t>
      </w:r>
    </w:p>
    <w:p w14:paraId="3DA064A0">
      <w:pPr>
        <w:pStyle w:val="27"/>
        <w:numPr>
          <w:ilvl w:val="1"/>
          <w:numId w:val="17"/>
        </w:numPr>
        <w:spacing w:before="312" w:after="312"/>
        <w:rPr>
          <w:rFonts w:ascii="Times New Roman" w:hAnsi="Times New Roman" w:cs="Times New Roman"/>
          <w:color w:val="000000" w:themeColor="text1"/>
          <w14:textFill>
            <w14:solidFill>
              <w14:schemeClr w14:val="tx1"/>
            </w14:solidFill>
          </w14:textFill>
        </w:rPr>
      </w:pPr>
      <w:bookmarkStart w:id="33" w:name="_Toc167869197"/>
      <w:r>
        <w:rPr>
          <w:rFonts w:hint="eastAsia" w:ascii="Times New Roman" w:hAnsi="Times New Roman" w:cs="Times New Roman"/>
          <w:color w:val="000000" w:themeColor="text1"/>
          <w14:textFill>
            <w14:solidFill>
              <w14:schemeClr w14:val="tx1"/>
            </w14:solidFill>
          </w14:textFill>
        </w:rPr>
        <w:t>术语</w:t>
      </w:r>
      <w:bookmarkEnd w:id="33"/>
    </w:p>
    <w:p w14:paraId="3C515BE4">
      <w:pPr>
        <w:pStyle w:val="41"/>
        <w:keepNext w:val="0"/>
        <w:keepLines w:val="0"/>
        <w:numPr>
          <w:ilvl w:val="2"/>
          <w:numId w:val="17"/>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bookmarkStart w:id="34" w:name="_Toc130633968"/>
      <w:bookmarkStart w:id="35" w:name="_Toc22532"/>
      <w:r>
        <w:rPr>
          <w:rFonts w:hint="eastAsia" w:ascii="Times New Roman" w:hAnsi="Times New Roman" w:eastAsia="黑体"/>
          <w:color w:val="000000" w:themeColor="text1"/>
          <w14:textFill>
            <w14:solidFill>
              <w14:schemeClr w14:val="tx1"/>
            </w14:solidFill>
          </w14:textFill>
        </w:rPr>
        <w:t>术语</w:t>
      </w:r>
      <w:bookmarkEnd w:id="34"/>
      <w:bookmarkEnd w:id="35"/>
    </w:p>
    <w:p w14:paraId="76F33F8F">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本规则涉及的定义，以本节1.3.1.2条为准；本规则使用但未明确规定的定义，以本局对船舶航行水域适用的规则为准。</w:t>
      </w:r>
    </w:p>
    <w:p w14:paraId="410F5FB3">
      <w:pPr>
        <w:pStyle w:val="53"/>
        <w:numPr>
          <w:ilvl w:val="3"/>
          <w:numId w:val="17"/>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本规则有关定义如下：</w:t>
      </w:r>
    </w:p>
    <w:p w14:paraId="4F18828B">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锂离子蓄电池：</w:t>
      </w:r>
      <w:r>
        <w:rPr>
          <w:rFonts w:ascii="Times New Roman"/>
          <w:color w:val="000000" w:themeColor="text1"/>
          <w14:textFill>
            <w14:solidFill>
              <w14:schemeClr w14:val="tx1"/>
            </w14:solidFill>
          </w14:textFill>
        </w:rPr>
        <w:t>系指</w:t>
      </w:r>
      <w:r>
        <w:rPr>
          <w:rFonts w:ascii="Times New Roman" w:hAnsi="Times New Roman"/>
          <w:color w:val="000000" w:themeColor="text1"/>
          <w14:textFill>
            <w14:solidFill>
              <w14:schemeClr w14:val="tx1"/>
            </w14:solidFill>
          </w14:textFill>
        </w:rPr>
        <w:t>利用锂离子作为导电离子，在正极和负极之间移动，通过化学能和电能相互转化实现充放电的电池。</w:t>
      </w:r>
    </w:p>
    <w:p w14:paraId="1609B6EB">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能量型超级电容器：系指以高比能量为特点，主要用于高能量输入、输出的电容器。</w:t>
      </w:r>
    </w:p>
    <w:p w14:paraId="33EB6A7A">
      <w:pPr>
        <w:pStyle w:val="58"/>
        <w:numPr>
          <w:ilvl w:val="0"/>
          <w:numId w:val="18"/>
        </w:numPr>
        <w:spacing w:line="240" w:lineRule="auto"/>
        <w:rPr>
          <w:rFonts w:ascii="Times New Roman" w:hAnsi="Times New Roman"/>
          <w:color w:val="000000" w:themeColor="text1"/>
          <w14:textFill>
            <w14:solidFill>
              <w14:schemeClr w14:val="tx1"/>
            </w14:solidFill>
          </w14:textFill>
        </w:rPr>
      </w:pPr>
      <w:r>
        <w:rPr>
          <w:color w:val="000000" w:themeColor="text1"/>
          <w14:textFill>
            <w14:solidFill>
              <w14:schemeClr w14:val="tx1"/>
            </w14:solidFill>
          </w14:textFill>
        </w:rPr>
        <w:t>磷酸铁锂电池</w:t>
      </w:r>
      <w:r>
        <w:rPr>
          <w:rFonts w:hint="eastAsia"/>
          <w:color w:val="000000" w:themeColor="text1"/>
          <w14:textFill>
            <w14:solidFill>
              <w14:schemeClr w14:val="tx1"/>
            </w14:solidFill>
          </w14:textFill>
        </w:rPr>
        <w:t>：系指</w:t>
      </w:r>
      <w:r>
        <w:rPr>
          <w:rFonts w:hint="eastAsia" w:ascii="Times New Roman"/>
          <w:color w:val="000000" w:themeColor="text1"/>
          <w14:textFill>
            <w14:solidFill>
              <w14:schemeClr w14:val="tx1"/>
            </w14:solidFill>
          </w14:textFill>
        </w:rPr>
        <w:t>采用</w:t>
      </w:r>
      <w:r>
        <w:rPr>
          <w:rFonts w:ascii="Times New Roman"/>
          <w:color w:val="000000" w:themeColor="text1"/>
          <w14:textFill>
            <w14:solidFill>
              <w14:schemeClr w14:val="tx1"/>
            </w14:solidFill>
          </w14:textFill>
        </w:rPr>
        <w:t>磷酸铁锂作为正极材料</w:t>
      </w:r>
      <w:r>
        <w:rPr>
          <w:rFonts w:ascii="Times New Roman" w:hAnsi="Times New Roman"/>
          <w:color w:val="000000" w:themeColor="text1"/>
          <w14:textFill>
            <w14:solidFill>
              <w14:schemeClr w14:val="tx1"/>
            </w14:solidFill>
          </w14:textFill>
        </w:rPr>
        <w:t>的锂离子蓄电池。</w:t>
      </w:r>
    </w:p>
    <w:p w14:paraId="5F2F5C4D">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软包电池：系指具有复合薄膜制成的电池外壳和连接元件的蓄电池。</w:t>
      </w:r>
    </w:p>
    <w:p w14:paraId="33A22B01">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蓄电池单体：系指蓄电池里面最小结构单元，直接将化学能转化为电能的基本单元装置，包括电极、隔膜、电解质、外壳和端子（又称极端）。</w:t>
      </w:r>
    </w:p>
    <w:p w14:paraId="7E2FD46F">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蓄电池模块：系指将</w:t>
      </w:r>
      <w:r>
        <w:rPr>
          <w:rFonts w:hint="eastAsia" w:ascii="Times New Roman"/>
          <w:color w:val="000000" w:themeColor="text1"/>
          <w14:textFill>
            <w14:solidFill>
              <w14:schemeClr w14:val="tx1"/>
            </w14:solidFill>
          </w14:textFill>
        </w:rPr>
        <w:t>两</w:t>
      </w:r>
      <w:r>
        <w:rPr>
          <w:rFonts w:ascii="Times New Roman"/>
          <w:color w:val="000000" w:themeColor="text1"/>
          <w14:textFill>
            <w14:solidFill>
              <w14:schemeClr w14:val="tx1"/>
            </w14:solidFill>
          </w14:textFill>
        </w:rPr>
        <w:t>个及以上蓄电池单体按照串联、并联或串并混联方式组合，且只有一对正负极输出端子，并作为电源使用的组合体。</w:t>
      </w:r>
    </w:p>
    <w:p w14:paraId="0616340D">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蓄电池包：系指由于电压或功率要求由多个蓄电池单体或蓄电池模块串、并联而成。蓄电池包内应含有为电池系统提供信息（如电压、温度等）的监测电路。</w:t>
      </w:r>
    </w:p>
    <w:p w14:paraId="22C1BCE7">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蓄电池箱（柜）：</w:t>
      </w:r>
      <w:r>
        <w:rPr>
          <w:rFonts w:ascii="方正书宋_GBK" w:hAnsi="方正书宋_GBK"/>
          <w:color w:val="000000" w:themeColor="text1"/>
          <w:szCs w:val="21"/>
          <w14:textFill>
            <w14:solidFill>
              <w14:schemeClr w14:val="tx1"/>
            </w14:solidFill>
          </w14:textFill>
        </w:rPr>
        <w:t>系指由</w:t>
      </w:r>
      <w:r>
        <w:rPr>
          <w:rFonts w:hint="eastAsia" w:ascii="方正书宋_GBK" w:hAnsi="方正书宋_GBK"/>
          <w:color w:val="000000" w:themeColor="text1"/>
          <w:szCs w:val="21"/>
          <w14:textFill>
            <w14:solidFill>
              <w14:schemeClr w14:val="tx1"/>
            </w14:solidFill>
          </w14:textFill>
        </w:rPr>
        <w:t>钢质材料制成</w:t>
      </w:r>
      <w:r>
        <w:rPr>
          <w:rFonts w:ascii="方正书宋_GBK" w:hAnsi="方正书宋_GBK"/>
          <w:color w:val="000000" w:themeColor="text1"/>
          <w:szCs w:val="21"/>
          <w14:textFill>
            <w14:solidFill>
              <w14:schemeClr w14:val="tx1"/>
            </w14:solidFill>
          </w14:textFill>
        </w:rPr>
        <w:t>的专门存放电池的</w:t>
      </w:r>
      <w:r>
        <w:rPr>
          <w:rFonts w:hint="eastAsia" w:ascii="方正书宋_GBK" w:hAnsi="方正书宋_GBK"/>
          <w:color w:val="000000" w:themeColor="text1"/>
          <w:szCs w:val="21"/>
          <w14:textFill>
            <w14:solidFill>
              <w14:schemeClr w14:val="tx1"/>
            </w14:solidFill>
          </w14:textFill>
        </w:rPr>
        <w:t>箱或柜。</w:t>
      </w:r>
    </w:p>
    <w:p w14:paraId="44CDABCA">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蓄电池舱：</w:t>
      </w:r>
      <w:r>
        <w:rPr>
          <w:rFonts w:ascii="方正书宋_GBK" w:hAnsi="方正书宋_GBK"/>
          <w:color w:val="000000" w:themeColor="text1"/>
          <w:szCs w:val="21"/>
          <w14:textFill>
            <w14:solidFill>
              <w14:schemeClr w14:val="tx1"/>
            </w14:solidFill>
          </w14:textFill>
        </w:rPr>
        <w:t>系指由结构性分隔围蔽的专门存放电池的处所</w:t>
      </w:r>
      <w:r>
        <w:rPr>
          <w:rFonts w:hint="eastAsia" w:ascii="方正书宋_GBK" w:hAnsi="方正书宋_GBK"/>
          <w:color w:val="000000" w:themeColor="text1"/>
          <w:szCs w:val="21"/>
          <w14:textFill>
            <w14:solidFill>
              <w14:schemeClr w14:val="tx1"/>
            </w14:solidFill>
          </w14:textFill>
        </w:rPr>
        <w:t>。</w:t>
      </w:r>
    </w:p>
    <w:p w14:paraId="34494705">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集装箱式移动电源（简称箱式电源）：</w:t>
      </w:r>
      <w:r>
        <w:rPr>
          <w:rFonts w:hAnsi="Times New Roman"/>
          <w:color w:val="000000" w:themeColor="text1"/>
          <w14:textFill>
            <w14:solidFill>
              <w14:schemeClr w14:val="tx1"/>
            </w14:solidFill>
          </w14:textFill>
        </w:rPr>
        <w:t>系指采用</w:t>
      </w:r>
      <w:r>
        <w:rPr>
          <w:rFonts w:hint="eastAsia" w:hAnsi="Times New Roman"/>
          <w:color w:val="000000" w:themeColor="text1"/>
          <w14:textFill>
            <w14:solidFill>
              <w14:schemeClr w14:val="tx1"/>
            </w14:solidFill>
          </w14:textFill>
        </w:rPr>
        <w:t>标准</w:t>
      </w:r>
      <w:r>
        <w:rPr>
          <w:rFonts w:hAnsi="Times New Roman"/>
          <w:color w:val="000000" w:themeColor="text1"/>
          <w14:textFill>
            <w14:solidFill>
              <w14:schemeClr w14:val="tx1"/>
            </w14:solidFill>
          </w14:textFill>
        </w:rPr>
        <w:t>集装箱的箱体作为电池</w:t>
      </w:r>
      <w:r>
        <w:rPr>
          <w:rFonts w:hint="eastAsia" w:hAnsi="Times New Roman"/>
          <w:color w:val="000000" w:themeColor="text1"/>
          <w14:textFill>
            <w14:solidFill>
              <w14:schemeClr w14:val="tx1"/>
            </w14:solidFill>
          </w14:textFill>
        </w:rPr>
        <w:t>系统及相关安全和控制系统</w:t>
      </w:r>
      <w:r>
        <w:rPr>
          <w:rFonts w:hAnsi="Times New Roman"/>
          <w:color w:val="000000" w:themeColor="text1"/>
          <w14:textFill>
            <w14:solidFill>
              <w14:schemeClr w14:val="tx1"/>
            </w14:solidFill>
          </w14:textFill>
        </w:rPr>
        <w:t>安装平台的蓄电池电源系统。</w:t>
      </w:r>
    </w:p>
    <w:p w14:paraId="534832B7">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电池管理系统（</w:t>
      </w:r>
      <w:r>
        <w:rPr>
          <w:rFonts w:ascii="Times New Roman" w:hAnsi="Times New Roman"/>
          <w:color w:val="000000" w:themeColor="text1"/>
          <w14:textFill>
            <w14:solidFill>
              <w14:schemeClr w14:val="tx1"/>
            </w14:solidFill>
          </w14:textFill>
        </w:rPr>
        <w:t>Battery Management System</w:t>
      </w:r>
      <w:r>
        <w:rPr>
          <w:rFonts w:asci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BMS</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系指监</w:t>
      </w:r>
      <w:r>
        <w:rPr>
          <w:rFonts w:hint="eastAsia" w:ascii="Times New Roman"/>
          <w:color w:val="000000" w:themeColor="text1"/>
          <w14:textFill>
            <w14:solidFill>
              <w14:schemeClr w14:val="tx1"/>
            </w14:solidFill>
          </w14:textFill>
        </w:rPr>
        <w:t>测</w:t>
      </w:r>
      <w:r>
        <w:rPr>
          <w:rFonts w:ascii="Times New Roman"/>
          <w:color w:val="000000" w:themeColor="text1"/>
          <w14:textFill>
            <w14:solidFill>
              <w14:schemeClr w14:val="tx1"/>
            </w14:solidFill>
          </w14:textFill>
        </w:rPr>
        <w:t>蓄电池的状态（温度、电压、荷电状态等），可以为蓄电池提供通信、安全、蓄电池单体均衡及管理控制，并提供与应用设备通信接口的系统。</w:t>
      </w:r>
    </w:p>
    <w:p w14:paraId="5934008E">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电池系统：系指能量存储装置，包括蓄电池模块或蓄电池包的集成、电池管理系统、高压电路、低压电路、热管理设备以及机械总成。</w:t>
      </w:r>
    </w:p>
    <w:p w14:paraId="7B03EAF3">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船舶管理系统：系</w:t>
      </w:r>
      <w:r>
        <w:rPr>
          <w:rFonts w:hint="eastAsia" w:ascii="Times New Roman"/>
          <w:color w:val="000000" w:themeColor="text1"/>
          <w14:textFill>
            <w14:solidFill>
              <w14:schemeClr w14:val="tx1"/>
            </w14:solidFill>
          </w14:textFill>
        </w:rPr>
        <w:t>指</w:t>
      </w:r>
      <w:r>
        <w:rPr>
          <w:rFonts w:hint="eastAsia"/>
          <w:color w:val="000000" w:themeColor="text1"/>
          <w14:textFill>
            <w14:solidFill>
              <w14:schemeClr w14:val="tx1"/>
            </w14:solidFill>
          </w14:textFill>
        </w:rPr>
        <w:t>用于船舶动力系统（包括电池系统、配电系统和推进系统）的监测、报警和控制，且由软件和硬件共同构成的系统。</w:t>
      </w:r>
      <w:r>
        <w:rPr>
          <w:rFonts w:ascii="Times New Roman"/>
          <w:color w:val="000000" w:themeColor="text1"/>
          <w14:textFill>
            <w14:solidFill>
              <w14:schemeClr w14:val="tx1"/>
            </w14:solidFill>
          </w14:textFill>
        </w:rPr>
        <w:t>船舶管理系统可为功率管理系统（</w:t>
      </w:r>
      <w:r>
        <w:rPr>
          <w:rFonts w:ascii="Times New Roman" w:hAnsi="Times New Roman"/>
          <w:color w:val="000000" w:themeColor="text1"/>
          <w14:textFill>
            <w14:solidFill>
              <w14:schemeClr w14:val="tx1"/>
            </w14:solidFill>
          </w14:textFill>
        </w:rPr>
        <w:t>Power Management System</w:t>
      </w:r>
      <w:r>
        <w:rPr>
          <w:rFonts w:asci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PMS</w:t>
      </w:r>
      <w:r>
        <w:rPr>
          <w:rFonts w:ascii="Times New Roman"/>
          <w:color w:val="000000" w:themeColor="text1"/>
          <w14:textFill>
            <w14:solidFill>
              <w14:schemeClr w14:val="tx1"/>
            </w14:solidFill>
          </w14:textFill>
        </w:rPr>
        <w:t>）和</w:t>
      </w:r>
      <w:r>
        <w:rPr>
          <w:rFonts w:ascii="Times New Roman" w:hAns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或能量管理系统（</w:t>
      </w:r>
      <w:r>
        <w:rPr>
          <w:rFonts w:ascii="Times New Roman" w:hAnsi="Times New Roman"/>
          <w:color w:val="000000" w:themeColor="text1"/>
          <w14:textFill>
            <w14:solidFill>
              <w14:schemeClr w14:val="tx1"/>
            </w14:solidFill>
          </w14:textFill>
        </w:rPr>
        <w:t>Energy Management System</w:t>
      </w:r>
      <w:r>
        <w:rPr>
          <w:rFonts w:asci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EMS</w:t>
      </w:r>
      <w:r>
        <w:rPr>
          <w:rFonts w:ascii="Times New Roman"/>
          <w:color w:val="000000" w:themeColor="text1"/>
          <w14:textFill>
            <w14:solidFill>
              <w14:schemeClr w14:val="tx1"/>
            </w14:solidFill>
          </w14:textFill>
        </w:rPr>
        <w:t>）</w:t>
      </w:r>
      <w:bookmarkStart w:id="36" w:name="OLE_LINK20"/>
      <w:r>
        <w:rPr>
          <w:rFonts w:ascii="Times New Roman"/>
          <w:color w:val="000000" w:themeColor="text1"/>
          <w14:textFill>
            <w14:solidFill>
              <w14:schemeClr w14:val="tx1"/>
            </w14:solidFill>
          </w14:textFill>
        </w:rPr>
        <w:t>和</w:t>
      </w:r>
      <w:r>
        <w:rPr>
          <w:rFonts w:ascii="Times New Roman" w:hAns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或监测报警系统</w:t>
      </w:r>
      <w:bookmarkEnd w:id="36"/>
      <w:r>
        <w:rPr>
          <w:rFonts w:ascii="Times New Roman"/>
          <w:color w:val="000000" w:themeColor="text1"/>
          <w14:textFill>
            <w14:solidFill>
              <w14:schemeClr w14:val="tx1"/>
            </w14:solidFill>
          </w14:textFill>
        </w:rPr>
        <w:t>（</w:t>
      </w:r>
      <w:r>
        <w:fldChar w:fldCharType="begin"/>
      </w:r>
      <w:r>
        <w:instrText xml:space="preserve"> HYPERLINK "app:ds:monitoring%20and%20alarming%20system" \t "_self" </w:instrText>
      </w:r>
      <w:r>
        <w:fldChar w:fldCharType="separate"/>
      </w:r>
      <w:r>
        <w:rPr>
          <w:rFonts w:ascii="Times New Roman" w:hAnsi="Times New Roman"/>
          <w:color w:val="000000" w:themeColor="text1"/>
          <w14:textFill>
            <w14:solidFill>
              <w14:schemeClr w14:val="tx1"/>
            </w14:solidFill>
          </w14:textFill>
        </w:rPr>
        <w:t>Alarming and Monitoring System</w:t>
      </w:r>
      <w:r>
        <w:rPr>
          <w:rFonts w:ascii="Times New Roman" w:hAns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AMS</w:t>
      </w:r>
      <w:r>
        <w:rPr>
          <w:rFonts w:ascii="Times New Roman"/>
          <w:color w:val="000000" w:themeColor="text1"/>
          <w14:textFill>
            <w14:solidFill>
              <w14:schemeClr w14:val="tx1"/>
            </w14:solidFill>
          </w14:textFill>
        </w:rPr>
        <w:t>）。</w:t>
      </w:r>
    </w:p>
    <w:p w14:paraId="1B573D4E">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电池容量：系指蓄电池存储电量的大小。一般企业提供的电池容量（室温下蓄电池以恒定电流</w:t>
      </w:r>
      <w:r>
        <w:rPr>
          <w:rFonts w:ascii="Times New Roman" w:hAnsi="Times New Roman"/>
          <w:color w:val="000000" w:themeColor="text1"/>
          <w14:textFill>
            <w14:solidFill>
              <w14:schemeClr w14:val="tx1"/>
            </w14:solidFill>
          </w14:textFill>
        </w:rPr>
        <w:t>I</w:t>
      </w:r>
      <w:r>
        <w:rPr>
          <w:rFonts w:ascii="Times New Roman" w:hAnsi="Times New Roman"/>
          <w:color w:val="000000" w:themeColor="text1"/>
          <w:vertAlign w:val="subscript"/>
          <w14:textFill>
            <w14:solidFill>
              <w14:schemeClr w14:val="tx1"/>
            </w14:solidFill>
          </w14:textFill>
        </w:rPr>
        <w:t>X</w:t>
      </w:r>
      <w:r>
        <w:rPr>
          <w:rFonts w:ascii="Times New Roman" w:hAnsi="Times New Roman"/>
          <w:color w:val="000000" w:themeColor="text1"/>
          <w14:textFill>
            <w14:solidFill>
              <w14:schemeClr w14:val="tx1"/>
            </w14:solidFill>
          </w14:textFill>
        </w:rPr>
        <w:t>(A)</w:t>
      </w:r>
      <w:r>
        <w:rPr>
          <w:rFonts w:ascii="Times New Roman"/>
          <w:color w:val="000000" w:themeColor="text1"/>
          <w14:textFill>
            <w14:solidFill>
              <w14:schemeClr w14:val="tx1"/>
            </w14:solidFill>
          </w14:textFill>
        </w:rPr>
        <w:t>放电，可持续工作</w:t>
      </w:r>
      <w:r>
        <w:rPr>
          <w:rFonts w:ascii="Times New Roman" w:hAnsi="Times New Roman"/>
          <w:color w:val="000000" w:themeColor="text1"/>
          <w14:textFill>
            <w14:solidFill>
              <w14:schemeClr w14:val="tx1"/>
            </w14:solidFill>
          </w14:textFill>
        </w:rPr>
        <w:t>X</w:t>
      </w:r>
      <w:r>
        <w:rPr>
          <w:rFonts w:ascii="Times New Roman"/>
          <w:color w:val="000000" w:themeColor="text1"/>
          <w14:textFill>
            <w14:solidFill>
              <w14:schemeClr w14:val="tx1"/>
            </w14:solidFill>
          </w14:textFill>
        </w:rPr>
        <w:t>小时）为额定电池容量。</w:t>
      </w:r>
    </w:p>
    <w:p w14:paraId="58C49BD6">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电池健康状态</w:t>
      </w:r>
      <w:r>
        <w:rPr>
          <w:rFonts w:ascii="Times New Roman" w:hAnsi="Times New Roman"/>
          <w:color w:val="000000" w:themeColor="text1"/>
          <w14:textFill>
            <w14:solidFill>
              <w14:schemeClr w14:val="tx1"/>
            </w14:solidFill>
          </w14:textFill>
        </w:rPr>
        <w:t>（State of Health，SOH）</w:t>
      </w:r>
      <w:r>
        <w:rPr>
          <w:rFonts w:ascii="Times New Roman"/>
          <w:color w:val="000000" w:themeColor="text1"/>
          <w14:textFill>
            <w14:solidFill>
              <w14:schemeClr w14:val="tx1"/>
            </w14:solidFill>
          </w14:textFill>
        </w:rPr>
        <w:t>：系指蓄电池当前的性能与正常设计指标的偏离程度。</w:t>
      </w:r>
    </w:p>
    <w:p w14:paraId="5C8F792E">
      <w:pPr>
        <w:pStyle w:val="58"/>
        <w:numPr>
          <w:ilvl w:val="0"/>
          <w:numId w:val="18"/>
        </w:numPr>
        <w:spacing w:line="240" w:lineRule="auto"/>
        <w:rPr>
          <w:rFonts w:ascii="Times New Roman" w:hAnsi="Times New Roman"/>
          <w:color w:val="000000" w:themeColor="text1"/>
          <w14:textFill>
            <w14:solidFill>
              <w14:schemeClr w14:val="tx1"/>
            </w14:solidFill>
          </w14:textFill>
        </w:rPr>
      </w:pPr>
      <w:bookmarkStart w:id="37" w:name="_Toc510644179"/>
      <w:bookmarkStart w:id="38" w:name="_Toc504059376"/>
      <w:bookmarkStart w:id="39" w:name="_Toc511045315"/>
      <w:bookmarkStart w:id="40" w:name="_Toc511045334"/>
      <w:bookmarkStart w:id="41" w:name="_Toc504059396"/>
      <w:bookmarkStart w:id="42" w:name="_Toc510644198"/>
      <w:r>
        <w:rPr>
          <w:rFonts w:ascii="Times New Roman"/>
          <w:color w:val="000000" w:themeColor="text1"/>
          <w14:textFill>
            <w14:solidFill>
              <w14:schemeClr w14:val="tx1"/>
            </w14:solidFill>
          </w14:textFill>
        </w:rPr>
        <w:t>电池荷电状态</w:t>
      </w:r>
      <w:r>
        <w:rPr>
          <w:rFonts w:ascii="Times New Roman" w:hAnsi="Times New Roman"/>
          <w:color w:val="000000" w:themeColor="text1"/>
          <w14:textFill>
            <w14:solidFill>
              <w14:schemeClr w14:val="tx1"/>
            </w14:solidFill>
          </w14:textFill>
        </w:rPr>
        <w:t>（State of Charge，SOC）</w:t>
      </w:r>
      <w:r>
        <w:rPr>
          <w:rFonts w:ascii="Times New Roman"/>
          <w:color w:val="000000" w:themeColor="text1"/>
          <w14:textFill>
            <w14:solidFill>
              <w14:schemeClr w14:val="tx1"/>
            </w14:solidFill>
          </w14:textFill>
        </w:rPr>
        <w:t>：系指当前蓄电池单体、模块、蓄电池包或系统中按照制造商规定的放电条件可以释放的电量占电池容量的百分比，也叫剩余电量。</w:t>
      </w:r>
    </w:p>
    <w:bookmarkEnd w:id="37"/>
    <w:bookmarkEnd w:id="38"/>
    <w:bookmarkEnd w:id="39"/>
    <w:p w14:paraId="155055B9">
      <w:pPr>
        <w:pStyle w:val="58"/>
        <w:numPr>
          <w:ilvl w:val="0"/>
          <w:numId w:val="18"/>
        </w:numPr>
        <w:spacing w:line="240" w:lineRule="auto"/>
        <w:rPr>
          <w:rFonts w:ascii="Times New Roman" w:hAnsi="Times New Roman"/>
          <w:color w:val="000000" w:themeColor="text1"/>
          <w14:textFill>
            <w14:solidFill>
              <w14:schemeClr w14:val="tx1"/>
            </w14:solidFill>
          </w14:textFill>
        </w:rPr>
      </w:pPr>
      <w:bookmarkStart w:id="43" w:name="OLE_LINK10"/>
      <w:bookmarkStart w:id="44" w:name="OLE_LINK9"/>
      <w:r>
        <w:rPr>
          <w:rFonts w:ascii="Times New Roman"/>
          <w:color w:val="000000" w:themeColor="text1"/>
          <w14:textFill>
            <w14:solidFill>
              <w14:schemeClr w14:val="tx1"/>
            </w14:solidFill>
          </w14:textFill>
        </w:rPr>
        <w:t>放电深度</w:t>
      </w:r>
      <w:bookmarkEnd w:id="43"/>
      <w:bookmarkEnd w:id="44"/>
      <w:r>
        <w:rPr>
          <w:rFonts w:ascii="Times New Roman"/>
          <w:color w:val="000000" w:themeColor="text1"/>
          <w14:textFill>
            <w14:solidFill>
              <w14:schemeClr w14:val="tx1"/>
            </w14:solidFill>
          </w14:textFill>
        </w:rPr>
        <w:t>：在蓄电池使用过程中，蓄电池放出的容量占其标称容量的百分比。</w:t>
      </w:r>
    </w:p>
    <w:p w14:paraId="44AE72F4">
      <w:pPr>
        <w:pStyle w:val="58"/>
        <w:numPr>
          <w:ilvl w:val="0"/>
          <w:numId w:val="18"/>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热失控：系指蓄电池单体放热连锁反应引起蓄电池温度不可控上升的现象。</w:t>
      </w:r>
    </w:p>
    <w:bookmarkEnd w:id="40"/>
    <w:bookmarkEnd w:id="41"/>
    <w:bookmarkEnd w:id="42"/>
    <w:p w14:paraId="023E18FD">
      <w:pPr>
        <w:pStyle w:val="25"/>
        <w:numPr>
          <w:ilvl w:val="0"/>
          <w:numId w:val="17"/>
        </w:numPr>
        <w:spacing w:before="312"/>
        <w:rPr>
          <w:rFonts w:ascii="Times New Roman" w:hAnsi="Times New Roman" w:cs="Times New Roman"/>
          <w:color w:val="000000" w:themeColor="text1"/>
          <w14:textFill>
            <w14:solidFill>
              <w14:schemeClr w14:val="tx1"/>
            </w14:solidFill>
          </w14:textFill>
        </w:rPr>
      </w:pPr>
      <w:bookmarkStart w:id="45" w:name="_Toc167869198"/>
      <w:r>
        <w:rPr>
          <w:rFonts w:hint="eastAsia" w:ascii="Times New Roman" w:hAnsi="Times New Roman" w:cs="Times New Roman"/>
          <w:color w:val="000000" w:themeColor="text1"/>
          <w14:textFill>
            <w14:solidFill>
              <w14:schemeClr w14:val="tx1"/>
            </w14:solidFill>
          </w14:textFill>
        </w:rPr>
        <w:t>检验与发证</w:t>
      </w:r>
      <w:bookmarkEnd w:id="45"/>
    </w:p>
    <w:p w14:paraId="702751A5">
      <w:pPr>
        <w:pStyle w:val="27"/>
        <w:numPr>
          <w:ilvl w:val="1"/>
          <w:numId w:val="17"/>
        </w:numPr>
        <w:spacing w:before="312" w:after="312"/>
        <w:rPr>
          <w:rFonts w:ascii="Times New Roman" w:hAnsi="Times New Roman" w:cs="Times New Roman"/>
          <w:color w:val="000000" w:themeColor="text1"/>
          <w14:textFill>
            <w14:solidFill>
              <w14:schemeClr w14:val="tx1"/>
            </w14:solidFill>
          </w14:textFill>
        </w:rPr>
      </w:pPr>
      <w:bookmarkStart w:id="46" w:name="_Toc167869199"/>
      <w:r>
        <w:rPr>
          <w:rFonts w:hint="eastAsia" w:ascii="Times New Roman" w:hAnsi="Times New Roman" w:cs="Times New Roman"/>
          <w:color w:val="000000" w:themeColor="text1"/>
          <w14:textFill>
            <w14:solidFill>
              <w14:schemeClr w14:val="tx1"/>
            </w14:solidFill>
          </w14:textFill>
        </w:rPr>
        <w:t>一般规定</w:t>
      </w:r>
      <w:bookmarkEnd w:id="46"/>
    </w:p>
    <w:p w14:paraId="69AE9120">
      <w:pPr>
        <w:pStyle w:val="41"/>
        <w:keepNext w:val="0"/>
        <w:keepLines w:val="0"/>
        <w:numPr>
          <w:ilvl w:val="2"/>
          <w:numId w:val="17"/>
        </w:numPr>
        <w:adjustRightInd w:val="0"/>
        <w:snapToGrid w:val="0"/>
        <w:spacing w:before="312" w:line="360" w:lineRule="auto"/>
        <w:ind w:firstLine="420" w:firstLineChars="200"/>
        <w:jc w:val="left"/>
        <w:rPr>
          <w:rFonts w:ascii="Times New Roman" w:hAnsi="Times New Roman" w:eastAsia="黑体"/>
          <w:color w:val="000000" w:themeColor="text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一般要求</w:t>
      </w:r>
    </w:p>
    <w:p w14:paraId="578BFE37">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船舶检验，包括本规则各项规定的执行，应由船舶检验机构进行。</w:t>
      </w:r>
      <w:r>
        <w:rPr>
          <w:rFonts w:hint="eastAsia" w:ascii="宋体" w:hAnsi="宋体"/>
          <w:color w:val="000000" w:themeColor="text1"/>
          <w14:textFill>
            <w14:solidFill>
              <w14:schemeClr w14:val="tx1"/>
            </w14:solidFill>
          </w14:textFill>
        </w:rPr>
        <w:t>船舶检验机构应有效执行本规则，确认签发的证书所载内容与检验完成时船舶的技术状况一致。</w:t>
      </w:r>
    </w:p>
    <w:p w14:paraId="4B65AAB3">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除本规则明确规定者外，纯电池动力船舶尚应满足本局对船舶航行水域适用的规则对各种船舶类型的检验规定（含各类检验间隔期）。</w:t>
      </w:r>
    </w:p>
    <w:p w14:paraId="027CB4A2">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rPr>
        <w:t>对于在船上使用的所有箱式电源，应进行合适的检验，确认箱式电源上船安装前处于良好状态，适用于预定的用途，确保其具有安全使用的条件。</w:t>
      </w:r>
    </w:p>
    <w:p w14:paraId="27F6DA7B">
      <w:pPr>
        <w:pStyle w:val="41"/>
        <w:keepNext w:val="0"/>
        <w:keepLines w:val="0"/>
        <w:numPr>
          <w:ilvl w:val="2"/>
          <w:numId w:val="17"/>
        </w:numPr>
        <w:adjustRightInd w:val="0"/>
        <w:snapToGrid w:val="0"/>
        <w:spacing w:before="312" w:line="360" w:lineRule="auto"/>
        <w:ind w:firstLine="420" w:firstLineChars="200"/>
        <w:jc w:val="left"/>
        <w:rPr>
          <w:rFonts w:ascii="Times New Roman" w:hAnsi="Times New Roman" w:eastAsia="黑体"/>
          <w:color w:val="000000" w:themeColor="text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船用产品</w:t>
      </w:r>
    </w:p>
    <w:p w14:paraId="16A4BC12">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船用电池产品（含蓄电池单体、蓄电池模块、蓄电池包及其包内火灾防控措施等辅助装置、电池管理系统和电池系统等）及</w:t>
      </w:r>
      <w:r>
        <w:rPr>
          <w:color w:val="000000" w:themeColor="text1"/>
          <w14:textFill>
            <w14:solidFill>
              <w14:schemeClr w14:val="tx1"/>
            </w14:solidFill>
          </w14:textFill>
        </w:rPr>
        <w:t>箱式电源</w:t>
      </w:r>
      <w:r>
        <w:rPr>
          <w:rFonts w:hint="eastAsia"/>
          <w:color w:val="000000" w:themeColor="text1"/>
          <w14:textFill>
            <w14:solidFill>
              <w14:schemeClr w14:val="tx1"/>
            </w14:solidFill>
          </w14:textFill>
        </w:rPr>
        <w:t>，应按相关标准和本规则相应技术要求进行检验，满足船上应用安全要求</w:t>
      </w:r>
      <w:r>
        <w:rPr>
          <w:rFonts w:hint="eastAsia"/>
          <w:color w:val="000000" w:themeColor="text1"/>
          <w:szCs w:val="21"/>
          <w14:textFill>
            <w14:solidFill>
              <w14:schemeClr w14:val="tx1"/>
            </w14:solidFill>
          </w14:textFill>
        </w:rPr>
        <w:t>。</w:t>
      </w:r>
    </w:p>
    <w:p w14:paraId="4F511C21">
      <w:pPr>
        <w:pStyle w:val="27"/>
        <w:numPr>
          <w:ilvl w:val="1"/>
          <w:numId w:val="17"/>
        </w:numPr>
        <w:spacing w:before="312" w:after="312"/>
        <w:rPr>
          <w:rFonts w:ascii="Times New Roman" w:hAnsi="Times New Roman" w:cs="Times New Roman"/>
          <w:color w:val="000000" w:themeColor="text1"/>
          <w14:textFill>
            <w14:solidFill>
              <w14:schemeClr w14:val="tx1"/>
            </w14:solidFill>
          </w14:textFill>
        </w:rPr>
      </w:pPr>
      <w:bookmarkStart w:id="47" w:name="_Toc167869200"/>
      <w:r>
        <w:rPr>
          <w:rFonts w:hint="eastAsia" w:ascii="Times New Roman" w:hAnsi="Times New Roman" w:cs="Times New Roman"/>
          <w:color w:val="000000" w:themeColor="text1"/>
          <w14:textFill>
            <w14:solidFill>
              <w14:schemeClr w14:val="tx1"/>
            </w14:solidFill>
          </w14:textFill>
        </w:rPr>
        <w:t>检验</w:t>
      </w:r>
      <w:bookmarkEnd w:id="47"/>
    </w:p>
    <w:p w14:paraId="51F3E900">
      <w:pPr>
        <w:pStyle w:val="41"/>
        <w:keepNext w:val="0"/>
        <w:keepLines w:val="0"/>
        <w:numPr>
          <w:ilvl w:val="2"/>
          <w:numId w:val="17"/>
        </w:numPr>
        <w:adjustRightInd w:val="0"/>
        <w:snapToGrid w:val="0"/>
        <w:spacing w:before="312" w:line="360" w:lineRule="auto"/>
        <w:ind w:firstLine="420" w:firstLineChars="200"/>
        <w:jc w:val="left"/>
        <w:rPr>
          <w:rFonts w:ascii="Times New Roman" w:hAnsi="Times New Roman" w:eastAsia="黑体"/>
          <w:color w:val="000000" w:themeColor="text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建造检验</w:t>
      </w:r>
    </w:p>
    <w:p w14:paraId="26CAC708">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除按本局对船舶航行水域适用的</w:t>
      </w:r>
      <w:r>
        <w:rPr>
          <w:rFonts w:hint="eastAsia" w:hAnsiTheme="minorHAnsi"/>
          <w:color w:val="000000" w:themeColor="text1"/>
          <w:kern w:val="2"/>
          <w:szCs w:val="22"/>
          <w14:textFill>
            <w14:solidFill>
              <w14:schemeClr w14:val="tx1"/>
            </w14:solidFill>
          </w14:textFill>
        </w:rPr>
        <w:t>规则</w:t>
      </w:r>
      <w:r>
        <w:rPr>
          <w:rFonts w:hint="eastAsia"/>
          <w:color w:val="000000" w:themeColor="text1"/>
          <w14:textFill>
            <w14:solidFill>
              <w14:schemeClr w14:val="tx1"/>
            </w14:solidFill>
          </w14:textFill>
        </w:rPr>
        <w:t>要求提交图纸资料外，还应</w:t>
      </w:r>
      <w:r>
        <w:rPr>
          <w:rFonts w:hint="eastAsia"/>
          <w:bCs w:val="0"/>
          <w:color w:val="000000" w:themeColor="text1"/>
          <w14:textFill>
            <w14:solidFill>
              <w14:schemeClr w14:val="tx1"/>
            </w14:solidFill>
          </w14:textFill>
        </w:rPr>
        <w:t>根据适用情况</w:t>
      </w:r>
      <w:r>
        <w:rPr>
          <w:rFonts w:hint="eastAsia"/>
          <w:color w:val="000000" w:themeColor="text1"/>
          <w14:textFill>
            <w14:solidFill>
              <w14:schemeClr w14:val="tx1"/>
            </w14:solidFill>
          </w14:textFill>
        </w:rPr>
        <w:t>将下列图纸资料提交船舶检验机构批准：</w:t>
      </w:r>
    </w:p>
    <w:p w14:paraId="6D931B8F">
      <w:pPr>
        <w:pStyle w:val="58"/>
        <w:numPr>
          <w:ilvl w:val="0"/>
          <w:numId w:val="19"/>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电气系统</w:t>
      </w:r>
    </w:p>
    <w:p w14:paraId="3831B515">
      <w:pPr>
        <w:pStyle w:val="43"/>
        <w:numPr>
          <w:ilvl w:val="0"/>
          <w:numId w:val="20"/>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电力负荷计算书（包括交流日用负荷计算、动力蓄电池容量计算）；</w:t>
      </w:r>
    </w:p>
    <w:p w14:paraId="2FA41CB1">
      <w:pPr>
        <w:pStyle w:val="43"/>
        <w:numPr>
          <w:ilvl w:val="0"/>
          <w:numId w:val="20"/>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直流综合电力系统短路电流计算书，包括直流配电系统和交流日用配电系统两部分（适用于可能同时在网的储能系统所连接的变流器总功率大于200kW的船舶）；</w:t>
      </w:r>
    </w:p>
    <w:p w14:paraId="7CD6CD85">
      <w:pPr>
        <w:pStyle w:val="43"/>
        <w:numPr>
          <w:ilvl w:val="0"/>
          <w:numId w:val="20"/>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直流综合电力系统选择性保护分析报告，包括直流配电系统和交流日用配电系统两部分（适用于可能同时在网的储能系统所连接的变流器总功率大于200kW的船舶）；</w:t>
      </w:r>
    </w:p>
    <w:p w14:paraId="4979ABFE">
      <w:pPr>
        <w:pStyle w:val="43"/>
        <w:numPr>
          <w:ilvl w:val="0"/>
          <w:numId w:val="20"/>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直流配电系统短路电流计算和选择性保护分析验证资料，用于对</w:t>
      </w:r>
      <w:r>
        <w:rPr>
          <w:rFonts w:hint="eastAsia" w:ascii="宋体"/>
          <w:color w:val="000000" w:themeColor="text1"/>
          <w14:textFill>
            <w14:solidFill>
              <w14:schemeClr w14:val="tx1"/>
            </w14:solidFill>
          </w14:textFill>
        </w:rPr>
        <w:t>②</w:t>
      </w:r>
      <w:r>
        <w:rPr>
          <w:rFonts w:hint="eastAsia"/>
          <w:color w:val="000000" w:themeColor="text1"/>
          <w14:textFill>
            <w14:solidFill>
              <w14:schemeClr w14:val="tx1"/>
            </w14:solidFill>
          </w14:textFill>
        </w:rPr>
        <w:t>和</w:t>
      </w:r>
      <w:r>
        <w:rPr>
          <w:rFonts w:hint="eastAsia" w:ascii="宋体"/>
          <w:color w:val="000000" w:themeColor="text1"/>
          <w14:textFill>
            <w14:solidFill>
              <w14:schemeClr w14:val="tx1"/>
            </w14:solidFill>
          </w14:textFill>
        </w:rPr>
        <w:t>③</w:t>
      </w:r>
      <w:r>
        <w:rPr>
          <w:rFonts w:hint="eastAsia"/>
          <w:color w:val="000000" w:themeColor="text1"/>
          <w14:textFill>
            <w14:solidFill>
              <w14:schemeClr w14:val="tx1"/>
            </w14:solidFill>
          </w14:textFill>
        </w:rPr>
        <w:t>的内容进行试验验证；</w:t>
      </w:r>
    </w:p>
    <w:p w14:paraId="0B8B21C4">
      <w:pPr>
        <w:pStyle w:val="43"/>
        <w:numPr>
          <w:ilvl w:val="0"/>
          <w:numId w:val="20"/>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直流综合电力系统图（包括直流配电系统、交流日用配电系统），图中应至少标明下列信息：蓄电池组、变流器、变压器、电机和电力电子设备的主要额定参数；直流配电板和交流配电板引出的所有馈电线；电缆的型号、规格和负载电流；保护电器的额定值和整定值；监测、报警、联锁及遥控切断等；</w:t>
      </w:r>
    </w:p>
    <w:p w14:paraId="22BD2EFF">
      <w:pPr>
        <w:pStyle w:val="43"/>
        <w:numPr>
          <w:ilvl w:val="0"/>
          <w:numId w:val="20"/>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电力设备布置图（包括蓄电池、蓄电池箱（柜）、箱式电源的布置位置及相关信息）；</w:t>
      </w:r>
    </w:p>
    <w:p w14:paraId="70F917D8">
      <w:pPr>
        <w:pStyle w:val="43"/>
        <w:numPr>
          <w:ilvl w:val="0"/>
          <w:numId w:val="20"/>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蓄电池舱电气设备布置图，应标明蓄电池舱内蓄电池及相关电气设备的安装位置。</w:t>
      </w:r>
    </w:p>
    <w:p w14:paraId="0FD7B804">
      <w:pPr>
        <w:pStyle w:val="58"/>
        <w:numPr>
          <w:ilvl w:val="0"/>
          <w:numId w:val="19"/>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控制、监测、报警和安全系统</w:t>
      </w:r>
    </w:p>
    <w:p w14:paraId="7F7E01B6">
      <w:pPr>
        <w:pStyle w:val="43"/>
        <w:numPr>
          <w:ilvl w:val="0"/>
          <w:numId w:val="21"/>
        </w:numPr>
        <w:autoSpaceDE/>
        <w:autoSpaceDN/>
        <w:snapToGrid w:val="0"/>
        <w:ind w:left="510" w:firstLine="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直流综合电力系统控制和监测系统图；</w:t>
      </w:r>
    </w:p>
    <w:p w14:paraId="6AC1E8C4">
      <w:pPr>
        <w:pStyle w:val="43"/>
        <w:numPr>
          <w:ilvl w:val="0"/>
          <w:numId w:val="21"/>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蓄电池及BMS系统图（由蓄电池包、高压箱、域管理盒、BMS等构成的系统图）；</w:t>
      </w:r>
    </w:p>
    <w:p w14:paraId="36D6B7BC">
      <w:pPr>
        <w:pStyle w:val="43"/>
        <w:numPr>
          <w:ilvl w:val="0"/>
          <w:numId w:val="21"/>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温度监测报警系统图、布置图；</w:t>
      </w:r>
    </w:p>
    <w:p w14:paraId="25845425">
      <w:pPr>
        <w:pStyle w:val="43"/>
        <w:numPr>
          <w:ilvl w:val="0"/>
          <w:numId w:val="21"/>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可燃气体探测报警系统图、布置图。</w:t>
      </w:r>
    </w:p>
    <w:p w14:paraId="243AC6A4">
      <w:pPr>
        <w:pStyle w:val="58"/>
        <w:numPr>
          <w:ilvl w:val="0"/>
          <w:numId w:val="19"/>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温度调节、排气与排水系统</w:t>
      </w:r>
    </w:p>
    <w:p w14:paraId="23E45CAE">
      <w:pPr>
        <w:pStyle w:val="43"/>
        <w:numPr>
          <w:ilvl w:val="0"/>
          <w:numId w:val="22"/>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蓄电池舱/蓄电池箱（柜）温度调节装置布置图及计算书；</w:t>
      </w:r>
    </w:p>
    <w:p w14:paraId="04E108DC">
      <w:pPr>
        <w:pStyle w:val="43"/>
        <w:numPr>
          <w:ilvl w:val="0"/>
          <w:numId w:val="22"/>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蓄电池舱/蓄电池箱（柜）应急排气系统布置图及计算书；</w:t>
      </w:r>
    </w:p>
    <w:p w14:paraId="21BA97D1">
      <w:pPr>
        <w:pStyle w:val="43"/>
        <w:numPr>
          <w:ilvl w:val="0"/>
          <w:numId w:val="22"/>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蓄电池舱排水系统布置图。</w:t>
      </w:r>
    </w:p>
    <w:p w14:paraId="3A0BC0E1">
      <w:pPr>
        <w:pStyle w:val="58"/>
        <w:numPr>
          <w:ilvl w:val="0"/>
          <w:numId w:val="19"/>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消防</w:t>
      </w:r>
    </w:p>
    <w:p w14:paraId="727F30CD">
      <w:pPr>
        <w:pStyle w:val="43"/>
        <w:numPr>
          <w:ilvl w:val="0"/>
          <w:numId w:val="23"/>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蓄电池舱防火结构图；</w:t>
      </w:r>
    </w:p>
    <w:p w14:paraId="281C5848">
      <w:pPr>
        <w:pStyle w:val="43"/>
        <w:numPr>
          <w:ilvl w:val="0"/>
          <w:numId w:val="23"/>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蓄电池舱/蓄电池箱（柜）灭火系统布置图及灭火剂量计算书；</w:t>
      </w:r>
    </w:p>
    <w:p w14:paraId="0D6B23DB">
      <w:pPr>
        <w:pStyle w:val="43"/>
        <w:numPr>
          <w:ilvl w:val="0"/>
          <w:numId w:val="23"/>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蓄电池舱/蓄电池箱（柜）固定式探火和失火报警系统图、布置图（可与全船固定式探火和失火报警系统图、布置图组合）；</w:t>
      </w:r>
    </w:p>
    <w:p w14:paraId="6DFCFDA6">
      <w:pPr>
        <w:pStyle w:val="43"/>
        <w:numPr>
          <w:ilvl w:val="0"/>
          <w:numId w:val="23"/>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蓄电池舱灭火剂施放前报警系统图、布置图；</w:t>
      </w:r>
    </w:p>
    <w:p w14:paraId="3F619E22">
      <w:pPr>
        <w:pStyle w:val="43"/>
        <w:numPr>
          <w:ilvl w:val="0"/>
          <w:numId w:val="23"/>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箱式电源用移动式消防水炮相关图纸，至少注明工作压力、排量、射程等参数（可在船舶水消防系统图纸中体现相关信息）。</w:t>
      </w:r>
    </w:p>
    <w:p w14:paraId="4694CF76">
      <w:pPr>
        <w:pStyle w:val="58"/>
        <w:numPr>
          <w:ilvl w:val="0"/>
          <w:numId w:val="19"/>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蓄电池舱布置图，包括该舱的出入口及通道布置（可在船舶总布置图中体现蓄电池舱的相关信息）</w:t>
      </w:r>
    </w:p>
    <w:p w14:paraId="4D2648FE">
      <w:pPr>
        <w:pStyle w:val="58"/>
        <w:numPr>
          <w:ilvl w:val="0"/>
          <w:numId w:val="19"/>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风险评估报告（</w:t>
      </w:r>
      <w:r>
        <w:rPr>
          <w:rFonts w:ascii="Times New Roman"/>
          <w:color w:val="000000" w:themeColor="text1"/>
          <w14:textFill>
            <w14:solidFill>
              <w14:schemeClr w14:val="tx1"/>
            </w14:solidFill>
          </w14:textFill>
        </w:rPr>
        <w:t>见</w:t>
      </w:r>
      <w:r>
        <w:rPr>
          <w:rFonts w:hint="eastAsia" w:ascii="Times New Roman"/>
          <w:color w:val="000000" w:themeColor="text1"/>
          <w14:textFill>
            <w14:solidFill>
              <w14:schemeClr w14:val="tx1"/>
            </w14:solidFill>
          </w14:textFill>
        </w:rPr>
        <w:t>本规则第9章</w:t>
      </w:r>
      <w:r>
        <w:rPr>
          <w:rFonts w:hint="eastAsia"/>
          <w:color w:val="000000" w:themeColor="text1"/>
          <w14:textFill>
            <w14:solidFill>
              <w14:schemeClr w14:val="tx1"/>
            </w14:solidFill>
          </w14:textFill>
        </w:rPr>
        <w:t>）。</w:t>
      </w:r>
    </w:p>
    <w:p w14:paraId="55ADB52A">
      <w:pPr>
        <w:pStyle w:val="58"/>
        <w:numPr>
          <w:ilvl w:val="0"/>
          <w:numId w:val="19"/>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系泊及航行试验大纲（由现场验船师审批）。</w:t>
      </w:r>
    </w:p>
    <w:p w14:paraId="45B0229F">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除本局对船舶航行水域适用的</w:t>
      </w:r>
      <w:r>
        <w:rPr>
          <w:rFonts w:hint="eastAsia" w:hAnsiTheme="minorHAnsi"/>
          <w:color w:val="000000" w:themeColor="text1"/>
          <w:kern w:val="2"/>
          <w:szCs w:val="22"/>
          <w14:textFill>
            <w14:solidFill>
              <w14:schemeClr w14:val="tx1"/>
            </w14:solidFill>
          </w14:textFill>
        </w:rPr>
        <w:t>规则</w:t>
      </w:r>
      <w:r>
        <w:rPr>
          <w:rFonts w:hint="eastAsia"/>
          <w:color w:val="000000" w:themeColor="text1"/>
          <w14:textFill>
            <w14:solidFill>
              <w14:schemeClr w14:val="tx1"/>
            </w14:solidFill>
          </w14:textFill>
        </w:rPr>
        <w:t>要求的检验项目以外，建造检验尚应</w:t>
      </w:r>
      <w:r>
        <w:rPr>
          <w:rFonts w:hint="eastAsia"/>
          <w:bCs w:val="0"/>
          <w:color w:val="000000" w:themeColor="text1"/>
          <w14:textFill>
            <w14:solidFill>
              <w14:schemeClr w14:val="tx1"/>
            </w14:solidFill>
          </w14:textFill>
        </w:rPr>
        <w:t>根据适用情况</w:t>
      </w:r>
      <w:r>
        <w:rPr>
          <w:rFonts w:hint="eastAsia"/>
          <w:color w:val="000000" w:themeColor="text1"/>
          <w14:textFill>
            <w14:solidFill>
              <w14:schemeClr w14:val="tx1"/>
            </w14:solidFill>
          </w14:textFill>
        </w:rPr>
        <w:t>增加下列项目：</w:t>
      </w:r>
    </w:p>
    <w:p w14:paraId="4B3B9FD9">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核查动力系统</w:t>
      </w:r>
      <w:r>
        <w:rPr>
          <w:rFonts w:hint="eastAsia" w:ascii="Times New Roman"/>
          <w:color w:val="000000" w:themeColor="text1"/>
          <w14:textFill>
            <w14:solidFill>
              <w14:schemeClr w14:val="tx1"/>
            </w14:solidFill>
          </w14:textFill>
        </w:rPr>
        <w:t>及其部件</w:t>
      </w:r>
      <w:r>
        <w:rPr>
          <w:rFonts w:ascii="Times New Roman"/>
          <w:color w:val="000000" w:themeColor="text1"/>
          <w14:textFill>
            <w14:solidFill>
              <w14:schemeClr w14:val="tx1"/>
            </w14:solidFill>
          </w14:textFill>
        </w:rPr>
        <w:t>相关的产品证书</w:t>
      </w:r>
      <w:r>
        <w:rPr>
          <w:rFonts w:hint="eastAsia" w:ascii="Times New Roman"/>
          <w:color w:val="000000" w:themeColor="text1"/>
          <w14:textFill>
            <w14:solidFill>
              <w14:schemeClr w14:val="tx1"/>
            </w14:solidFill>
          </w14:textFill>
        </w:rPr>
        <w:t>和认可证书</w:t>
      </w:r>
      <w:r>
        <w:rPr>
          <w:rFonts w:ascii="Times New Roman"/>
          <w:color w:val="000000" w:themeColor="text1"/>
          <w14:textFill>
            <w14:solidFill>
              <w14:schemeClr w14:val="tx1"/>
            </w14:solidFill>
          </w14:textFill>
        </w:rPr>
        <w:t>；</w:t>
      </w:r>
    </w:p>
    <w:p w14:paraId="20F82D68">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w:t>
      </w:r>
      <w:r>
        <w:rPr>
          <w:rFonts w:ascii="Times New Roman"/>
          <w:color w:val="000000" w:themeColor="text1"/>
          <w14:textFill>
            <w14:solidFill>
              <w14:schemeClr w14:val="tx1"/>
            </w14:solidFill>
          </w14:textFill>
        </w:rPr>
        <w:t>蓄电池舱的通道；</w:t>
      </w:r>
    </w:p>
    <w:p w14:paraId="79F16F42">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检查蓄电池舱/蓄电池箱（柜）内部设备及接线情况；</w:t>
      </w:r>
    </w:p>
    <w:p w14:paraId="507A49C7">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检查蓄电池舱/蓄电池箱（柜）应急排气系统，并做效用试验</w:t>
      </w:r>
      <w:r>
        <w:rPr>
          <w:rFonts w:ascii="Times New Roman"/>
          <w:color w:val="000000" w:themeColor="text1"/>
          <w14:textFill>
            <w14:solidFill>
              <w14:schemeClr w14:val="tx1"/>
            </w14:solidFill>
          </w14:textFill>
        </w:rPr>
        <w:t>；</w:t>
      </w:r>
    </w:p>
    <w:p w14:paraId="629F0FF0">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检查蓄电池舱/蓄电池箱（柜）通风系统，并做效用试验；</w:t>
      </w:r>
    </w:p>
    <w:p w14:paraId="38942030">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w:t>
      </w:r>
      <w:r>
        <w:rPr>
          <w:rFonts w:ascii="Times New Roman"/>
          <w:color w:val="000000" w:themeColor="text1"/>
          <w14:textFill>
            <w14:solidFill>
              <w14:schemeClr w14:val="tx1"/>
            </w14:solidFill>
          </w14:textFill>
        </w:rPr>
        <w:t>蓄电池舱与其他舱室防火分隔；</w:t>
      </w:r>
    </w:p>
    <w:p w14:paraId="7F4408AF">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检查蓄电池舱/蓄电池箱（柜）内固定式探火和失火报警系统，并做效用试验；</w:t>
      </w:r>
    </w:p>
    <w:p w14:paraId="3075BBED">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检查蓄电池舱/蓄电池箱（柜）内可燃气体探测报警系统，并做效用试验；</w:t>
      </w:r>
    </w:p>
    <w:p w14:paraId="516878CA">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检查蓄电池舱/蓄电池箱（柜）内的消防设备和系统，并做效用试验；</w:t>
      </w:r>
    </w:p>
    <w:p w14:paraId="1ED209AA">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检查蓄电池舱/蓄电池箱（柜）内</w:t>
      </w:r>
      <w:r>
        <w:rPr>
          <w:rFonts w:hint="eastAsia" w:ascii="Times New Roman" w:hAnsiTheme="minorHAnsi" w:eastAsiaTheme="minorEastAsia" w:cstheme="minorBidi"/>
          <w:bCs w:val="0"/>
          <w:color w:val="000000" w:themeColor="text1"/>
          <w:kern w:val="2"/>
          <w:szCs w:val="22"/>
          <w14:textFill>
            <w14:solidFill>
              <w14:schemeClr w14:val="tx1"/>
            </w14:solidFill>
          </w14:textFill>
        </w:rPr>
        <w:t>的温度调节系统和温度监测报警系统</w:t>
      </w:r>
      <w:r>
        <w:rPr>
          <w:rFonts w:hint="eastAsia" w:ascii="Times New Roman"/>
          <w:color w:val="000000" w:themeColor="text1"/>
          <w14:textFill>
            <w14:solidFill>
              <w14:schemeClr w14:val="tx1"/>
            </w14:solidFill>
          </w14:textFill>
        </w:rPr>
        <w:t>，并做效用试验；</w:t>
      </w:r>
    </w:p>
    <w:p w14:paraId="1BB763ED">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检查蓄电池舱/蓄电池箱（柜）内的防爆电气设备，检查非防爆电气设备的切断装置；</w:t>
      </w:r>
    </w:p>
    <w:p w14:paraId="006542B0">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w:t>
      </w:r>
      <w:r>
        <w:rPr>
          <w:rFonts w:ascii="Times New Roman"/>
          <w:color w:val="000000" w:themeColor="text1"/>
          <w14:textFill>
            <w14:solidFill>
              <w14:schemeClr w14:val="tx1"/>
            </w14:solidFill>
          </w14:textFill>
        </w:rPr>
        <w:t>电池系统的安装</w:t>
      </w:r>
      <w:r>
        <w:rPr>
          <w:rFonts w:hint="eastAsia" w:ascii="Times New Roman"/>
          <w:color w:val="000000" w:themeColor="text1"/>
          <w14:textFill>
            <w14:solidFill>
              <w14:schemeClr w14:val="tx1"/>
            </w14:solidFill>
          </w14:textFill>
        </w:rPr>
        <w:t>情况，主要包括：</w:t>
      </w:r>
    </w:p>
    <w:p w14:paraId="15A764ED">
      <w:pPr>
        <w:pStyle w:val="43"/>
        <w:numPr>
          <w:ilvl w:val="0"/>
          <w:numId w:val="25"/>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检查电池系统组件的外观是否存在腐蚀、损坏、变形、漏液；</w:t>
      </w:r>
    </w:p>
    <w:p w14:paraId="056C7B72">
      <w:pPr>
        <w:pStyle w:val="43"/>
        <w:numPr>
          <w:ilvl w:val="0"/>
          <w:numId w:val="25"/>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检查电池托架或蓄电池箱（柜）固定情况是否良好；</w:t>
      </w:r>
    </w:p>
    <w:p w14:paraId="7DFD03B1">
      <w:pPr>
        <w:pStyle w:val="43"/>
        <w:numPr>
          <w:ilvl w:val="0"/>
          <w:numId w:val="25"/>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检查蓄电池的布置是否便于更换、检查、测试和清洁；</w:t>
      </w:r>
    </w:p>
    <w:p w14:paraId="31C74867">
      <w:pPr>
        <w:pStyle w:val="43"/>
        <w:numPr>
          <w:ilvl w:val="0"/>
          <w:numId w:val="25"/>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检查蓄电池是否安装在可能遭受过热、过冷、水溅、蒸汽、其他损害其性能或加速其性能恶化影响的处所内；</w:t>
      </w:r>
    </w:p>
    <w:p w14:paraId="4FF50304">
      <w:pPr>
        <w:pStyle w:val="43"/>
        <w:numPr>
          <w:ilvl w:val="0"/>
          <w:numId w:val="25"/>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检查蓄电池舱电磁兼容环境。</w:t>
      </w:r>
    </w:p>
    <w:p w14:paraId="0E99D30A">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w:t>
      </w:r>
      <w:r>
        <w:rPr>
          <w:rFonts w:ascii="Times New Roman"/>
          <w:color w:val="000000" w:themeColor="text1"/>
          <w14:textFill>
            <w14:solidFill>
              <w14:schemeClr w14:val="tx1"/>
            </w14:solidFill>
          </w14:textFill>
        </w:rPr>
        <w:t>电池系统的功能</w:t>
      </w:r>
      <w:r>
        <w:rPr>
          <w:rFonts w:hint="eastAsia" w:ascii="Times New Roman"/>
          <w:color w:val="000000" w:themeColor="text1"/>
          <w14:textFill>
            <w14:solidFill>
              <w14:schemeClr w14:val="tx1"/>
            </w14:solidFill>
          </w14:textFill>
        </w:rPr>
        <w:t>，主要包括：</w:t>
      </w:r>
    </w:p>
    <w:p w14:paraId="233AF46A">
      <w:pPr>
        <w:pStyle w:val="43"/>
        <w:numPr>
          <w:ilvl w:val="0"/>
          <w:numId w:val="26"/>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检查蓄电池的充放电功能和充电设备的充电功能；</w:t>
      </w:r>
    </w:p>
    <w:p w14:paraId="0368222F">
      <w:pPr>
        <w:pStyle w:val="43"/>
        <w:numPr>
          <w:ilvl w:val="0"/>
          <w:numId w:val="26"/>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检查电池系统安全保护功能；</w:t>
      </w:r>
    </w:p>
    <w:p w14:paraId="05069B47">
      <w:pPr>
        <w:pStyle w:val="43"/>
        <w:numPr>
          <w:ilvl w:val="0"/>
          <w:numId w:val="26"/>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检查电池系统独立的应急关断系统功能是否良好，动作时应同时在驾驶室及有人值班的处所发出视觉和听觉信号，该紧急关断装置应防止误触动。</w:t>
      </w:r>
    </w:p>
    <w:p w14:paraId="6A0556A6">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直流配电系统的功能检验</w:t>
      </w:r>
      <w:r>
        <w:rPr>
          <w:rFonts w:hint="eastAsia" w:ascii="Times New Roman"/>
          <w:color w:val="000000" w:themeColor="text1"/>
          <w14:textFill>
            <w14:solidFill>
              <w14:schemeClr w14:val="tx1"/>
            </w14:solidFill>
          </w14:textFill>
        </w:rPr>
        <w:t>，主要包括：</w:t>
      </w:r>
    </w:p>
    <w:p w14:paraId="6A41DCF2">
      <w:pPr>
        <w:pStyle w:val="43"/>
        <w:numPr>
          <w:ilvl w:val="0"/>
          <w:numId w:val="27"/>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检查各工况下直流综合电力系统的操作、保护、联锁、指示、报警和相应的动作是否正常；</w:t>
      </w:r>
    </w:p>
    <w:p w14:paraId="3655ACB0">
      <w:pPr>
        <w:pStyle w:val="43"/>
        <w:numPr>
          <w:ilvl w:val="0"/>
          <w:numId w:val="27"/>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如电力负荷估算书中存在两台及以上电源装置并联运行工况，则需选择最少台数电源装置并联运行工况进行试验。在该工况停止其中一台电源装置，验证系统供电连续性。若电源装置额定功率不同，则需停止较大功率电源装置；</w:t>
      </w:r>
    </w:p>
    <w:p w14:paraId="7ACE790A">
      <w:pPr>
        <w:pStyle w:val="43"/>
        <w:numPr>
          <w:ilvl w:val="0"/>
          <w:numId w:val="27"/>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根据电力负荷估算书，在保证船舶动力安全的情况下，在航行工况或者作业工况下切除一台单机功率最大的负荷（如停止一台推进电动机），验证系统电压调节性能和稳定性；</w:t>
      </w:r>
    </w:p>
    <w:p w14:paraId="28C7865F">
      <w:pPr>
        <w:pStyle w:val="43"/>
        <w:numPr>
          <w:ilvl w:val="0"/>
          <w:numId w:val="27"/>
        </w:numPr>
        <w:autoSpaceDE/>
        <w:autoSpaceDN/>
        <w:snapToGrid w:val="0"/>
        <w:ind w:left="0" w:firstLine="51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检查控制和监控系统，并做功能试验，包括：</w:t>
      </w:r>
    </w:p>
    <w:p w14:paraId="5B628240">
      <w:pPr>
        <w:pStyle w:val="52"/>
        <w:widowControl/>
        <w:numPr>
          <w:ilvl w:val="0"/>
          <w:numId w:val="28"/>
        </w:numPr>
        <w:ind w:left="0" w:firstLine="454" w:firstLineChars="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检查</w:t>
      </w:r>
      <w:r>
        <w:rPr>
          <w:rFonts w:ascii="Times New Roman" w:hAnsi="宋体" w:eastAsia="宋体" w:cs="Times New Roman"/>
          <w:color w:val="000000" w:themeColor="text1"/>
          <w:kern w:val="0"/>
          <w:szCs w:val="21"/>
          <w14:textFill>
            <w14:solidFill>
              <w14:schemeClr w14:val="tx1"/>
            </w14:solidFill>
          </w14:textFill>
        </w:rPr>
        <w:t>控制位置（机旁</w:t>
      </w: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宋体" w:eastAsia="宋体" w:cs="Times New Roman"/>
          <w:color w:val="000000" w:themeColor="text1"/>
          <w:kern w:val="0"/>
          <w:szCs w:val="21"/>
          <w14:textFill>
            <w14:solidFill>
              <w14:schemeClr w14:val="tx1"/>
            </w14:solidFill>
          </w14:textFill>
        </w:rPr>
        <w:t>遥控）的设定和切换功能是否正常；</w:t>
      </w:r>
    </w:p>
    <w:p w14:paraId="53AC7AEA">
      <w:pPr>
        <w:pStyle w:val="52"/>
        <w:widowControl/>
        <w:numPr>
          <w:ilvl w:val="0"/>
          <w:numId w:val="28"/>
        </w:numPr>
        <w:ind w:left="0" w:firstLine="454" w:firstLineChars="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宋体" w:eastAsia="宋体" w:cs="Times New Roman"/>
          <w:color w:val="000000" w:themeColor="text1"/>
          <w:kern w:val="0"/>
          <w:szCs w:val="21"/>
          <w14:textFill>
            <w14:solidFill>
              <w14:schemeClr w14:val="tx1"/>
            </w14:solidFill>
          </w14:textFill>
        </w:rPr>
        <w:t>检查控制模式（手动</w:t>
      </w: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宋体" w:eastAsia="宋体" w:cs="Times New Roman"/>
          <w:color w:val="000000" w:themeColor="text1"/>
          <w:kern w:val="0"/>
          <w:szCs w:val="21"/>
          <w14:textFill>
            <w14:solidFill>
              <w14:schemeClr w14:val="tx1"/>
            </w14:solidFill>
          </w14:textFill>
        </w:rPr>
        <w:t>半自动</w:t>
      </w: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宋体" w:eastAsia="宋体" w:cs="Times New Roman"/>
          <w:color w:val="000000" w:themeColor="text1"/>
          <w:kern w:val="0"/>
          <w:szCs w:val="21"/>
          <w14:textFill>
            <w14:solidFill>
              <w14:schemeClr w14:val="tx1"/>
            </w14:solidFill>
          </w14:textFill>
        </w:rPr>
        <w:t>自动）的设定和切换功能是否正常；</w:t>
      </w:r>
    </w:p>
    <w:p w14:paraId="54E9844C">
      <w:pPr>
        <w:pStyle w:val="52"/>
        <w:widowControl/>
        <w:numPr>
          <w:ilvl w:val="0"/>
          <w:numId w:val="28"/>
        </w:numPr>
        <w:ind w:left="0" w:firstLine="454" w:firstLineChars="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宋体" w:eastAsia="宋体" w:cs="Times New Roman"/>
          <w:color w:val="000000" w:themeColor="text1"/>
          <w:kern w:val="0"/>
          <w:szCs w:val="21"/>
          <w14:textFill>
            <w14:solidFill>
              <w14:schemeClr w14:val="tx1"/>
            </w14:solidFill>
          </w14:textFill>
        </w:rPr>
        <w:t>检查各电源装置及保护电器运行状态、参数显示及启停控制功能是否正常；</w:t>
      </w:r>
    </w:p>
    <w:p w14:paraId="3DB5E447">
      <w:pPr>
        <w:pStyle w:val="52"/>
        <w:widowControl/>
        <w:numPr>
          <w:ilvl w:val="0"/>
          <w:numId w:val="28"/>
        </w:numPr>
        <w:ind w:left="0" w:firstLine="454" w:firstLineChars="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宋体" w:eastAsia="宋体" w:cs="Times New Roman"/>
          <w:color w:val="000000" w:themeColor="text1"/>
          <w:kern w:val="0"/>
          <w:szCs w:val="21"/>
          <w14:textFill>
            <w14:solidFill>
              <w14:schemeClr w14:val="tx1"/>
            </w14:solidFill>
          </w14:textFill>
        </w:rPr>
        <w:t>检查故障指示（声光报警）功能是否正常；</w:t>
      </w:r>
    </w:p>
    <w:p w14:paraId="4CF081BD">
      <w:pPr>
        <w:pStyle w:val="52"/>
        <w:widowControl/>
        <w:numPr>
          <w:ilvl w:val="0"/>
          <w:numId w:val="28"/>
        </w:numPr>
        <w:ind w:left="0" w:firstLine="454" w:firstLineChars="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宋体" w:eastAsia="宋体" w:cs="Times New Roman"/>
          <w:color w:val="000000" w:themeColor="text1"/>
          <w:kern w:val="0"/>
          <w:szCs w:val="21"/>
          <w14:textFill>
            <w14:solidFill>
              <w14:schemeClr w14:val="tx1"/>
            </w14:solidFill>
          </w14:textFill>
        </w:rPr>
        <w:t>检查当功率</w:t>
      </w: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宋体" w:eastAsia="宋体" w:cs="Times New Roman"/>
          <w:color w:val="000000" w:themeColor="text1"/>
          <w:kern w:val="0"/>
          <w:szCs w:val="21"/>
          <w14:textFill>
            <w14:solidFill>
              <w14:schemeClr w14:val="tx1"/>
            </w14:solidFill>
          </w14:textFill>
        </w:rPr>
        <w:t>能量管理系统发生电源故障、可编程控制器故障、通讯故障时系统是否能自动进入到安全状态；</w:t>
      </w:r>
    </w:p>
    <w:p w14:paraId="092E3682">
      <w:pPr>
        <w:pStyle w:val="52"/>
        <w:widowControl/>
        <w:numPr>
          <w:ilvl w:val="0"/>
          <w:numId w:val="28"/>
        </w:numPr>
        <w:ind w:left="0" w:firstLine="454" w:firstLineChars="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宋体" w:eastAsia="宋体" w:cs="Times New Roman"/>
          <w:color w:val="000000" w:themeColor="text1"/>
          <w:kern w:val="0"/>
          <w:szCs w:val="21"/>
          <w14:textFill>
            <w14:solidFill>
              <w14:schemeClr w14:val="tx1"/>
            </w14:solidFill>
          </w14:textFill>
        </w:rPr>
        <w:t>模拟故障情况下越控功能是否正常；</w:t>
      </w:r>
    </w:p>
    <w:p w14:paraId="09424A64">
      <w:pPr>
        <w:pStyle w:val="52"/>
        <w:widowControl/>
        <w:numPr>
          <w:ilvl w:val="0"/>
          <w:numId w:val="28"/>
        </w:numPr>
        <w:ind w:left="0" w:firstLine="454" w:firstLineChars="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宋体" w:eastAsia="宋体" w:cs="Times New Roman"/>
          <w:color w:val="000000" w:themeColor="text1"/>
          <w:kern w:val="0"/>
          <w:szCs w:val="21"/>
          <w14:textFill>
            <w14:solidFill>
              <w14:schemeClr w14:val="tx1"/>
            </w14:solidFill>
          </w14:textFill>
        </w:rPr>
        <w:t>检查变流器冷却系统、转舵电机等重要设备失电后的恢复工作时间，该恢复时间不应影响设备安全运转。</w:t>
      </w:r>
    </w:p>
    <w:p w14:paraId="3E481BC3">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检查交流配电系统的功能是否正常，主要包括：</w:t>
      </w:r>
    </w:p>
    <w:p w14:paraId="7F7F3B63">
      <w:pPr>
        <w:pStyle w:val="43"/>
        <w:numPr>
          <w:ilvl w:val="0"/>
          <w:numId w:val="29"/>
        </w:numPr>
        <w:autoSpaceDE/>
        <w:autoSpaceDN/>
        <w:snapToGrid w:val="0"/>
        <w:ind w:left="0" w:firstLine="420" w:firstLineChars="200"/>
        <w:jc w:val="both"/>
        <w:outlineLvl w:val="9"/>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逆变器的检查和起动/停止试验； </w:t>
      </w:r>
    </w:p>
    <w:p w14:paraId="32612D66">
      <w:pPr>
        <w:pStyle w:val="43"/>
        <w:numPr>
          <w:ilvl w:val="0"/>
          <w:numId w:val="29"/>
        </w:numPr>
        <w:autoSpaceDE/>
        <w:autoSpaceDN/>
        <w:snapToGrid w:val="0"/>
        <w:ind w:left="0" w:firstLine="420" w:firstLineChars="20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逆变器带载运行的检查和试验；</w:t>
      </w:r>
    </w:p>
    <w:p w14:paraId="5E7BB59B">
      <w:pPr>
        <w:pStyle w:val="43"/>
        <w:numPr>
          <w:ilvl w:val="0"/>
          <w:numId w:val="29"/>
        </w:numPr>
        <w:autoSpaceDE/>
        <w:autoSpaceDN/>
        <w:snapToGrid w:val="0"/>
        <w:ind w:left="0" w:firstLine="420" w:firstLineChars="200"/>
        <w:jc w:val="both"/>
        <w:outlineLvl w:val="9"/>
        <w:rPr>
          <w:rFonts w:hint="eastAsia"/>
          <w:color w:val="000000" w:themeColor="text1"/>
          <w14:textFill>
            <w14:solidFill>
              <w14:schemeClr w14:val="tx1"/>
            </w14:solidFill>
          </w14:textFill>
        </w:rPr>
      </w:pPr>
      <w:r>
        <w:rPr>
          <w:color w:val="000000" w:themeColor="text1"/>
          <w14:textFill>
            <w14:solidFill>
              <w14:schemeClr w14:val="tx1"/>
            </w14:solidFill>
          </w14:textFill>
        </w:rPr>
        <w:t>逆变器之间相互转移供电，以及与其他交流电源装置相互转移供电的试验，且转移过程中负载不断电，分别测量手动及自动转换的时间。</w:t>
      </w:r>
    </w:p>
    <w:p w14:paraId="0CB275F7">
      <w:pPr>
        <w:pStyle w:val="58"/>
        <w:numPr>
          <w:ilvl w:val="0"/>
          <w:numId w:val="24"/>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对于陆上联调试验（对于批量船舶，只需首艘船舶做联调试验），试验对象至少应包括电池系统、配电系统和推进系统；</w:t>
      </w:r>
    </w:p>
    <w:p w14:paraId="5585A2DC">
      <w:pPr>
        <w:pStyle w:val="58"/>
        <w:numPr>
          <w:ilvl w:val="0"/>
          <w:numId w:val="24"/>
        </w:numPr>
        <w:spacing w:line="240" w:lineRule="auto"/>
        <w:rPr>
          <w:rFonts w:hint="eastAsia" w:ascii="Times New Roman"/>
          <w:color w:val="000000" w:themeColor="text1"/>
          <w14:textFill>
            <w14:solidFill>
              <w14:schemeClr w14:val="tx1"/>
            </w14:solidFill>
          </w14:textFill>
        </w:rPr>
      </w:pPr>
      <w:r>
        <w:rPr>
          <w:rFonts w:hint="eastAsia"/>
        </w:rPr>
        <w:t>核查</w:t>
      </w:r>
      <w:r>
        <w:rPr>
          <w:rFonts w:hint="eastAsia"/>
          <w:color w:val="000000" w:themeColor="text1"/>
          <w14:textFill>
            <w14:solidFill>
              <w14:schemeClr w14:val="tx1"/>
            </w14:solidFill>
          </w14:textFill>
        </w:rPr>
        <w:t>直流综合电力系统短路试验资料</w:t>
      </w:r>
      <w:r>
        <w:rPr>
          <w:rFonts w:hint="eastAsia"/>
        </w:rPr>
        <w:t>，</w:t>
      </w:r>
      <w:r>
        <w:rPr>
          <w:rFonts w:hint="eastAsia" w:ascii="Times New Roman"/>
          <w:color w:val="000000" w:themeColor="text1"/>
          <w14:textFill>
            <w14:solidFill>
              <w14:schemeClr w14:val="tx1"/>
            </w14:solidFill>
          </w14:textFill>
        </w:rPr>
        <w:t>验证直流配电系统选择性保护措施；</w:t>
      </w:r>
    </w:p>
    <w:p w14:paraId="3F584416">
      <w:pPr>
        <w:pStyle w:val="58"/>
        <w:numPr>
          <w:ilvl w:val="0"/>
          <w:numId w:val="24"/>
        </w:numPr>
        <w:spacing w:line="240" w:lineRule="auto"/>
        <w:rPr>
          <w:rFonts w:hint="eastAsia" w:ascii="Times New Roman"/>
          <w:color w:val="000000" w:themeColor="text1"/>
          <w14:textFill>
            <w14:solidFill>
              <w14:schemeClr w14:val="tx1"/>
            </w14:solidFill>
          </w14:textFill>
        </w:rPr>
      </w:pPr>
      <w:r>
        <w:rPr>
          <w:rFonts w:ascii="Times New Roman"/>
          <w:color w:val="000000" w:themeColor="text1"/>
          <w:szCs w:val="21"/>
          <w14:textFill>
            <w14:solidFill>
              <w14:schemeClr w14:val="tx1"/>
            </w14:solidFill>
          </w14:textFill>
        </w:rPr>
        <w:t>根据</w:t>
      </w:r>
      <w:r>
        <w:rPr>
          <w:rFonts w:ascii="Times New Roman" w:hAnsi="Times New Roman"/>
          <w:color w:val="000000" w:themeColor="text1"/>
          <w:szCs w:val="21"/>
          <w14:textFill>
            <w14:solidFill>
              <w14:schemeClr w14:val="tx1"/>
            </w14:solidFill>
          </w14:textFill>
        </w:rPr>
        <w:t>风险评估</w:t>
      </w:r>
      <w:r>
        <w:rPr>
          <w:rFonts w:ascii="Times New Roman"/>
          <w:color w:val="000000" w:themeColor="text1"/>
          <w:szCs w:val="21"/>
          <w14:textFill>
            <w14:solidFill>
              <w14:schemeClr w14:val="tx1"/>
            </w14:solidFill>
          </w14:textFill>
        </w:rPr>
        <w:t>报告提出的风险缓解措施，验证所采取措施的有效性</w:t>
      </w:r>
      <w:r>
        <w:rPr>
          <w:rFonts w:hint="eastAsia" w:ascii="Times New Roman"/>
          <w:color w:val="000000" w:themeColor="text1"/>
          <w:szCs w:val="21"/>
          <w14:textFill>
            <w14:solidFill>
              <w14:schemeClr w14:val="tx1"/>
            </w14:solidFill>
          </w14:textFill>
        </w:rPr>
        <w:t>；</w:t>
      </w:r>
    </w:p>
    <w:p w14:paraId="4F5C0E67">
      <w:pPr>
        <w:pStyle w:val="58"/>
        <w:numPr>
          <w:ilvl w:val="0"/>
          <w:numId w:val="24"/>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箱式电源的附加检验</w:t>
      </w:r>
      <w:r>
        <w:rPr>
          <w:rFonts w:hint="eastAsia" w:ascii="Times New Roman"/>
          <w:color w:val="000000" w:themeColor="text1"/>
          <w14:textFill>
            <w14:solidFill>
              <w14:schemeClr w14:val="tx1"/>
            </w14:solidFill>
          </w14:textFill>
        </w:rPr>
        <w:t>。主要包括：</w:t>
      </w:r>
    </w:p>
    <w:p w14:paraId="29EC7E06">
      <w:pPr>
        <w:pStyle w:val="43"/>
        <w:numPr>
          <w:ilvl w:val="0"/>
          <w:numId w:val="30"/>
        </w:numPr>
        <w:autoSpaceDE/>
        <w:autoSpaceDN/>
        <w:snapToGrid w:val="0"/>
        <w:ind w:left="420" w:leftChars="20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箱式电源船上布置检查、箱式电源换电操作试验；</w:t>
      </w:r>
    </w:p>
    <w:p w14:paraId="6E4BCDCC">
      <w:pPr>
        <w:pStyle w:val="43"/>
        <w:numPr>
          <w:ilvl w:val="0"/>
          <w:numId w:val="30"/>
        </w:numPr>
        <w:autoSpaceDE/>
        <w:autoSpaceDN/>
        <w:snapToGrid w:val="0"/>
        <w:ind w:left="420" w:leftChars="20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箱式电源内对外传输信号的设备及其功能检查；</w:t>
      </w:r>
    </w:p>
    <w:p w14:paraId="5F0BA32E">
      <w:pPr>
        <w:pStyle w:val="43"/>
        <w:numPr>
          <w:ilvl w:val="0"/>
          <w:numId w:val="30"/>
        </w:numPr>
        <w:autoSpaceDE/>
        <w:autoSpaceDN/>
        <w:snapToGrid w:val="0"/>
        <w:ind w:left="420" w:leftChars="20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箱式电源灭火系统远程操作的功能试验（模拟试验）等；</w:t>
      </w:r>
    </w:p>
    <w:p w14:paraId="2D46E4E3">
      <w:pPr>
        <w:pStyle w:val="43"/>
        <w:numPr>
          <w:ilvl w:val="0"/>
          <w:numId w:val="30"/>
        </w:numPr>
        <w:autoSpaceDE/>
        <w:autoSpaceDN/>
        <w:snapToGrid w:val="0"/>
        <w:ind w:left="420" w:leftChars="200"/>
        <w:jc w:val="both"/>
        <w:outlineLvl w:val="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对每具移动式消防水炮的运行性能进行试验。</w:t>
      </w:r>
    </w:p>
    <w:p w14:paraId="4B81FB62">
      <w:pPr>
        <w:pStyle w:val="53"/>
        <w:numPr>
          <w:ilvl w:val="3"/>
          <w:numId w:val="17"/>
        </w:numPr>
        <w:spacing w:line="240" w:lineRule="auto"/>
        <w:ind w:left="0" w:firstLine="420" w:firstLineChars="200"/>
        <w:rPr>
          <w:bCs w:val="0"/>
          <w:color w:val="000000" w:themeColor="text1"/>
          <w:szCs w:val="21"/>
          <w14:textFill>
            <w14:solidFill>
              <w14:schemeClr w14:val="tx1"/>
            </w14:solidFill>
          </w14:textFill>
        </w:rPr>
      </w:pPr>
      <w:r>
        <w:rPr>
          <w:rFonts w:hint="eastAsia"/>
          <w:bCs w:val="0"/>
          <w:color w:val="000000" w:themeColor="text1"/>
          <w:szCs w:val="21"/>
          <w14:textFill>
            <w14:solidFill>
              <w14:schemeClr w14:val="tx1"/>
            </w14:solidFill>
          </w14:textFill>
        </w:rPr>
        <w:t>船上应至少保存下列资料：</w:t>
      </w:r>
    </w:p>
    <w:p w14:paraId="3665CFF5">
      <w:pPr>
        <w:pStyle w:val="58"/>
        <w:numPr>
          <w:ilvl w:val="0"/>
          <w:numId w:val="31"/>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操作手册（具体内容见</w:t>
      </w:r>
      <w:r>
        <w:rPr>
          <w:rFonts w:hint="eastAsia" w:ascii="Times New Roman"/>
          <w:color w:val="000000" w:themeColor="text1"/>
          <w14:textFill>
            <w14:solidFill>
              <w14:schemeClr w14:val="tx1"/>
            </w14:solidFill>
          </w14:textFill>
        </w:rPr>
        <w:t>本规则第11章</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w:t>
      </w:r>
    </w:p>
    <w:p w14:paraId="0E87B56F">
      <w:pPr>
        <w:pStyle w:val="58"/>
        <w:numPr>
          <w:ilvl w:val="0"/>
          <w:numId w:val="31"/>
        </w:numPr>
        <w:spacing w:line="240" w:lineRule="auto"/>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维护保养</w:t>
      </w:r>
      <w:r>
        <w:rPr>
          <w:rFonts w:hint="eastAsia" w:ascii="Times New Roman"/>
          <w:color w:val="000000" w:themeColor="text1"/>
          <w14:textFill>
            <w14:solidFill>
              <w14:schemeClr w14:val="tx1"/>
            </w14:solidFill>
          </w14:textFill>
        </w:rPr>
        <w:t>计划</w:t>
      </w:r>
      <w:r>
        <w:rPr>
          <w:rFonts w:ascii="Times New Roman"/>
          <w:color w:val="000000" w:themeColor="text1"/>
          <w14:textFill>
            <w14:solidFill>
              <w14:schemeClr w14:val="tx1"/>
            </w14:solidFill>
          </w14:textFill>
        </w:rPr>
        <w:t>（具体内容见</w:t>
      </w:r>
      <w:r>
        <w:rPr>
          <w:rFonts w:hint="eastAsia" w:ascii="Times New Roman"/>
          <w:color w:val="000000" w:themeColor="text1"/>
          <w14:textFill>
            <w14:solidFill>
              <w14:schemeClr w14:val="tx1"/>
            </w14:solidFill>
          </w14:textFill>
        </w:rPr>
        <w:t>本规则第11章</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3</w:t>
      </w:r>
      <w:r>
        <w:rPr>
          <w:rFonts w:ascii="Times New Roman"/>
          <w:color w:val="000000" w:themeColor="text1"/>
          <w14:textFill>
            <w14:solidFill>
              <w14:schemeClr w14:val="tx1"/>
            </w14:solidFill>
          </w14:textFill>
        </w:rPr>
        <w:t>）；</w:t>
      </w:r>
    </w:p>
    <w:p w14:paraId="3CBA33E7">
      <w:pPr>
        <w:pStyle w:val="58"/>
        <w:numPr>
          <w:ilvl w:val="0"/>
          <w:numId w:val="31"/>
        </w:numPr>
        <w:spacing w:line="240" w:lineRule="auto"/>
        <w:rPr>
          <w:rFonts w:hint="eastAsia"/>
          <w:color w:val="000000" w:themeColor="text1"/>
          <w14:textFill>
            <w14:solidFill>
              <w14:schemeClr w14:val="tx1"/>
            </w14:solidFill>
          </w14:textFill>
        </w:rPr>
      </w:pPr>
      <w:r>
        <w:rPr>
          <w:rFonts w:ascii="Times New Roman"/>
          <w:color w:val="000000" w:themeColor="text1"/>
          <w14:textFill>
            <w14:solidFill>
              <w14:schemeClr w14:val="tx1"/>
            </w14:solidFill>
          </w14:textFill>
        </w:rPr>
        <w:t>培训手册（具体内容见</w:t>
      </w:r>
      <w:r>
        <w:rPr>
          <w:rFonts w:hint="eastAsia" w:ascii="Times New Roman"/>
          <w:color w:val="000000" w:themeColor="text1"/>
          <w14:textFill>
            <w14:solidFill>
              <w14:schemeClr w14:val="tx1"/>
            </w14:solidFill>
          </w14:textFill>
        </w:rPr>
        <w:t>本规则第11章</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4</w:t>
      </w:r>
      <w:r>
        <w:rPr>
          <w:rFonts w:ascii="Times New Roman"/>
          <w:color w:val="000000" w:themeColor="text1"/>
          <w14:textFill>
            <w14:solidFill>
              <w14:schemeClr w14:val="tx1"/>
            </w14:solidFill>
          </w14:textFill>
        </w:rPr>
        <w:t>）。</w:t>
      </w:r>
    </w:p>
    <w:p w14:paraId="380C2D3F">
      <w:pPr>
        <w:pStyle w:val="41"/>
        <w:keepNext w:val="0"/>
        <w:keepLines w:val="0"/>
        <w:numPr>
          <w:ilvl w:val="2"/>
          <w:numId w:val="17"/>
        </w:numPr>
        <w:adjustRightInd w:val="0"/>
        <w:snapToGrid w:val="0"/>
        <w:spacing w:before="312" w:line="360" w:lineRule="auto"/>
        <w:ind w:firstLine="420" w:firstLineChars="200"/>
        <w:jc w:val="left"/>
        <w:rPr>
          <w:rFonts w:ascii="Times New Roman" w:hAnsi="Times New Roman" w:eastAsia="黑体"/>
          <w:color w:val="000000" w:themeColor="text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年度检验</w:t>
      </w:r>
    </w:p>
    <w:p w14:paraId="70528C66">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除本局对船舶航行水域适用的</w:t>
      </w:r>
      <w:r>
        <w:rPr>
          <w:rFonts w:hint="eastAsia" w:hAnsiTheme="minorHAnsi"/>
          <w:color w:val="000000" w:themeColor="text1"/>
          <w:kern w:val="2"/>
          <w:szCs w:val="22"/>
          <w14:textFill>
            <w14:solidFill>
              <w14:schemeClr w14:val="tx1"/>
            </w14:solidFill>
          </w14:textFill>
        </w:rPr>
        <w:t>规则</w:t>
      </w:r>
      <w:r>
        <w:rPr>
          <w:rFonts w:hint="eastAsia"/>
          <w:color w:val="000000" w:themeColor="text1"/>
          <w14:textFill>
            <w14:solidFill>
              <w14:schemeClr w14:val="tx1"/>
            </w14:solidFill>
          </w14:textFill>
        </w:rPr>
        <w:t>要求的检验项目以外，年度检验尚应</w:t>
      </w:r>
      <w:r>
        <w:rPr>
          <w:rFonts w:hint="eastAsia"/>
          <w:bCs w:val="0"/>
          <w:color w:val="000000" w:themeColor="text1"/>
          <w14:textFill>
            <w14:solidFill>
              <w14:schemeClr w14:val="tx1"/>
            </w14:solidFill>
          </w14:textFill>
        </w:rPr>
        <w:t>根据适用情况</w:t>
      </w:r>
      <w:r>
        <w:rPr>
          <w:rFonts w:hint="eastAsia"/>
          <w:color w:val="000000" w:themeColor="text1"/>
          <w14:textFill>
            <w14:solidFill>
              <w14:schemeClr w14:val="tx1"/>
            </w14:solidFill>
          </w14:textFill>
        </w:rPr>
        <w:t>增加下列项目：</w:t>
      </w:r>
    </w:p>
    <w:p w14:paraId="394EC40E">
      <w:pPr>
        <w:pStyle w:val="58"/>
        <w:numPr>
          <w:ilvl w:val="0"/>
          <w:numId w:val="3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检查蓄电池舱/蓄电池箱（柜）的布置有无变化；</w:t>
      </w:r>
    </w:p>
    <w:p w14:paraId="3CAD4B67">
      <w:pPr>
        <w:pStyle w:val="58"/>
        <w:numPr>
          <w:ilvl w:val="0"/>
          <w:numId w:val="3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蓄电池外部检查，查看蓄电池包、蓄电池箱（柜）是否有腐蚀、变形、破损、漏液及箱（柜）体未良好固定等情况；</w:t>
      </w:r>
    </w:p>
    <w:p w14:paraId="2F285585">
      <w:pPr>
        <w:pStyle w:val="58"/>
        <w:numPr>
          <w:ilvl w:val="0"/>
          <w:numId w:val="3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 xml:space="preserve">检查蓄电池、电池管理系统运行记录，确认电池系统运行和适用状况； </w:t>
      </w:r>
    </w:p>
    <w:p w14:paraId="13D1F5C0">
      <w:pPr>
        <w:pStyle w:val="58"/>
        <w:numPr>
          <w:ilvl w:val="0"/>
          <w:numId w:val="3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检查蓄电池舱</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蓄电池箱（柜）内是否增加热源设备；</w:t>
      </w:r>
    </w:p>
    <w:p w14:paraId="1BA2DC62">
      <w:pPr>
        <w:pStyle w:val="58"/>
        <w:numPr>
          <w:ilvl w:val="0"/>
          <w:numId w:val="3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 xml:space="preserve">检查蓄电池舱/蓄电池箱（柜）温度监测报警系统是否正常工作； </w:t>
      </w:r>
    </w:p>
    <w:p w14:paraId="728B9690">
      <w:pPr>
        <w:pStyle w:val="58"/>
        <w:numPr>
          <w:ilvl w:val="0"/>
          <w:numId w:val="3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检查蓄电池舱/蓄电池箱（柜）应急排气系统是否正常工作；</w:t>
      </w:r>
    </w:p>
    <w:p w14:paraId="05BCD7FF">
      <w:pPr>
        <w:pStyle w:val="58"/>
        <w:numPr>
          <w:ilvl w:val="0"/>
          <w:numId w:val="3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检查蓄电池舱/蓄电池箱（柜）温度调节系统或通风系统是否正常工作；</w:t>
      </w:r>
    </w:p>
    <w:p w14:paraId="0F6075D7">
      <w:pPr>
        <w:pStyle w:val="58"/>
        <w:numPr>
          <w:ilvl w:val="0"/>
          <w:numId w:val="3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检查配电系统（包括服务于配电系统的冷却系统）是否正常工作；</w:t>
      </w:r>
    </w:p>
    <w:p w14:paraId="7546902D">
      <w:pPr>
        <w:pStyle w:val="58"/>
        <w:numPr>
          <w:ilvl w:val="0"/>
          <w:numId w:val="3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检查船舶管理系统的运行情况，确认其数据储存和通信功能等是否正常；</w:t>
      </w:r>
    </w:p>
    <w:p w14:paraId="24129D73">
      <w:pPr>
        <w:pStyle w:val="58"/>
        <w:numPr>
          <w:ilvl w:val="0"/>
          <w:numId w:val="3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对蓄电池包火灾防控装置</w:t>
      </w:r>
      <w:r>
        <w:rPr>
          <w:rFonts w:hint="eastAsia" w:ascii="Times New Roman" w:eastAsiaTheme="minorEastAsia"/>
          <w:color w:val="000000" w:themeColor="text1"/>
          <w14:textFill>
            <w14:solidFill>
              <w14:schemeClr w14:val="tx1"/>
            </w14:solidFill>
          </w14:textFill>
        </w:rPr>
        <w:t>进行外部检查，查阅维护记录；</w:t>
      </w:r>
    </w:p>
    <w:p w14:paraId="7DF15B13">
      <w:pPr>
        <w:pStyle w:val="58"/>
        <w:numPr>
          <w:ilvl w:val="0"/>
          <w:numId w:val="3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查阅本次船舶检验周期内箱式电源的基本数据分析报告；</w:t>
      </w:r>
    </w:p>
    <w:p w14:paraId="67CDC6A8">
      <w:pPr>
        <w:pStyle w:val="58"/>
        <w:numPr>
          <w:ilvl w:val="0"/>
          <w:numId w:val="3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检查熔断器等备件在船上的保存情况；</w:t>
      </w:r>
    </w:p>
    <w:p w14:paraId="176CDC98">
      <w:pPr>
        <w:pStyle w:val="58"/>
        <w:numPr>
          <w:ilvl w:val="0"/>
          <w:numId w:val="3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检查船上应配备的文件和记录，包括本</w:t>
      </w:r>
      <w:r>
        <w:rPr>
          <w:rFonts w:hint="eastAsia"/>
          <w:color w:val="000000" w:themeColor="text1"/>
          <w14:textFill>
            <w14:solidFill>
              <w14:schemeClr w14:val="tx1"/>
            </w14:solidFill>
          </w14:textFill>
        </w:rPr>
        <w:t>节</w:t>
      </w:r>
      <w:r>
        <w:rPr>
          <w:rFonts w:hint="eastAsia" w:ascii="Times New Roman"/>
          <w:color w:val="000000" w:themeColor="text1"/>
          <w14:textFill>
            <w14:solidFill>
              <w14:schemeClr w14:val="tx1"/>
            </w14:solidFill>
          </w14:textFill>
        </w:rPr>
        <w:t>2.2.1.3所要求的资料、设备运行和维护保养记录等</w:t>
      </w:r>
      <w:r>
        <w:rPr>
          <w:rStyle w:val="21"/>
          <w:rFonts w:hint="eastAsia" w:asciiTheme="minorHAnsi" w:hAnsiTheme="minorHAnsi" w:eastAsiaTheme="minorEastAsia" w:cstheme="minorBidi"/>
          <w:bCs w:val="0"/>
          <w:color w:val="000000" w:themeColor="text1"/>
          <w:kern w:val="2"/>
          <w14:textFill>
            <w14:solidFill>
              <w14:schemeClr w14:val="tx1"/>
            </w14:solidFill>
          </w14:textFill>
        </w:rPr>
        <w:t>。</w:t>
      </w:r>
    </w:p>
    <w:p w14:paraId="46CDBEE9">
      <w:pPr>
        <w:pStyle w:val="41"/>
        <w:keepNext w:val="0"/>
        <w:keepLines w:val="0"/>
        <w:numPr>
          <w:ilvl w:val="2"/>
          <w:numId w:val="17"/>
        </w:numPr>
        <w:adjustRightInd w:val="0"/>
        <w:snapToGrid w:val="0"/>
        <w:spacing w:before="312" w:line="360" w:lineRule="auto"/>
        <w:ind w:firstLine="420" w:firstLineChars="200"/>
        <w:jc w:val="left"/>
        <w:rPr>
          <w:rFonts w:ascii="Times New Roman" w:hAnsi="Times New Roman" w:eastAsia="黑体"/>
          <w:color w:val="000000" w:themeColor="text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中间检验</w:t>
      </w:r>
    </w:p>
    <w:p w14:paraId="0F5EEC63">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除本局对船舶航行水域适用的</w:t>
      </w:r>
      <w:r>
        <w:rPr>
          <w:rFonts w:hint="eastAsia" w:hAnsiTheme="minorHAnsi"/>
          <w:color w:val="000000" w:themeColor="text1"/>
          <w:kern w:val="2"/>
          <w:szCs w:val="22"/>
          <w14:textFill>
            <w14:solidFill>
              <w14:schemeClr w14:val="tx1"/>
            </w14:solidFill>
          </w14:textFill>
        </w:rPr>
        <w:t>规则</w:t>
      </w:r>
      <w:r>
        <w:rPr>
          <w:rFonts w:hint="eastAsia"/>
          <w:color w:val="000000" w:themeColor="text1"/>
          <w14:textFill>
            <w14:solidFill>
              <w14:schemeClr w14:val="tx1"/>
            </w14:solidFill>
          </w14:textFill>
        </w:rPr>
        <w:t>要求和本节2.2.2要求的检验项目以外，中间检验尚应</w:t>
      </w:r>
      <w:r>
        <w:rPr>
          <w:rFonts w:hint="eastAsia"/>
          <w:bCs w:val="0"/>
          <w:color w:val="000000" w:themeColor="text1"/>
          <w14:textFill>
            <w14:solidFill>
              <w14:schemeClr w14:val="tx1"/>
            </w14:solidFill>
          </w14:textFill>
        </w:rPr>
        <w:t>根据适用情况</w:t>
      </w:r>
      <w:r>
        <w:rPr>
          <w:rFonts w:hint="eastAsia"/>
          <w:color w:val="000000" w:themeColor="text1"/>
          <w14:textFill>
            <w14:solidFill>
              <w14:schemeClr w14:val="tx1"/>
            </w14:solidFill>
          </w14:textFill>
        </w:rPr>
        <w:t>增加下列项目：</w:t>
      </w:r>
    </w:p>
    <w:p w14:paraId="691D62A5">
      <w:pPr>
        <w:pStyle w:val="58"/>
        <w:numPr>
          <w:ilvl w:val="0"/>
          <w:numId w:val="33"/>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检查电池系统紧急关断装置的效用；</w:t>
      </w:r>
    </w:p>
    <w:p w14:paraId="7994DBFD">
      <w:pPr>
        <w:pStyle w:val="58"/>
        <w:numPr>
          <w:ilvl w:val="0"/>
          <w:numId w:val="33"/>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具备充电条件时（如泊位设有充电装置的），对于船上设有充电装置的船舶进行蓄电池充电效用试验，检查充电装置监测、保护和通信功能是否正常；</w:t>
      </w:r>
    </w:p>
    <w:p w14:paraId="15F25031">
      <w:pPr>
        <w:pStyle w:val="58"/>
        <w:numPr>
          <w:ilvl w:val="0"/>
          <w:numId w:val="33"/>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检查推进系统是否正常工作，必要时应对控制位置转换和紧急停车功能进行试验。</w:t>
      </w:r>
    </w:p>
    <w:p w14:paraId="75912277">
      <w:pPr>
        <w:pStyle w:val="41"/>
        <w:keepNext w:val="0"/>
        <w:keepLines w:val="0"/>
        <w:numPr>
          <w:ilvl w:val="2"/>
          <w:numId w:val="17"/>
        </w:numPr>
        <w:adjustRightInd w:val="0"/>
        <w:snapToGrid w:val="0"/>
        <w:spacing w:before="312" w:line="360" w:lineRule="auto"/>
        <w:ind w:firstLine="420" w:firstLineChars="200"/>
        <w:jc w:val="left"/>
        <w:rPr>
          <w:rFonts w:ascii="Times New Roman" w:hAnsi="Times New Roman" w:eastAsia="黑体"/>
          <w:color w:val="000000" w:themeColor="text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换证检验</w:t>
      </w:r>
    </w:p>
    <w:p w14:paraId="5E213687">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除本局对船舶航行水域适用的</w:t>
      </w:r>
      <w:r>
        <w:rPr>
          <w:rFonts w:hint="eastAsia" w:hAnsiTheme="minorHAnsi"/>
          <w:color w:val="000000" w:themeColor="text1"/>
          <w:kern w:val="2"/>
          <w:szCs w:val="22"/>
          <w14:textFill>
            <w14:solidFill>
              <w14:schemeClr w14:val="tx1"/>
            </w14:solidFill>
          </w14:textFill>
        </w:rPr>
        <w:t>规则</w:t>
      </w:r>
      <w:r>
        <w:rPr>
          <w:rFonts w:hint="eastAsia"/>
          <w:color w:val="000000" w:themeColor="text1"/>
          <w14:textFill>
            <w14:solidFill>
              <w14:schemeClr w14:val="tx1"/>
            </w14:solidFill>
          </w14:textFill>
        </w:rPr>
        <w:t>要求和本节</w:t>
      </w:r>
      <w:r>
        <w:rPr>
          <w:color w:val="000000" w:themeColor="text1"/>
          <w14:textFill>
            <w14:solidFill>
              <w14:schemeClr w14:val="tx1"/>
            </w14:solidFill>
          </w14:textFill>
        </w:rPr>
        <w:t>2.2.3</w:t>
      </w:r>
      <w:r>
        <w:rPr>
          <w:rFonts w:hint="eastAsia"/>
          <w:color w:val="000000" w:themeColor="text1"/>
          <w14:textFill>
            <w14:solidFill>
              <w14:schemeClr w14:val="tx1"/>
            </w14:solidFill>
          </w14:textFill>
        </w:rPr>
        <w:t>要求的检验项目以外，换证检验尚应</w:t>
      </w:r>
      <w:r>
        <w:rPr>
          <w:rFonts w:hint="eastAsia"/>
          <w:bCs w:val="0"/>
          <w:color w:val="000000" w:themeColor="text1"/>
          <w14:textFill>
            <w14:solidFill>
              <w14:schemeClr w14:val="tx1"/>
            </w14:solidFill>
          </w14:textFill>
        </w:rPr>
        <w:t>根据适用情况</w:t>
      </w:r>
      <w:r>
        <w:rPr>
          <w:rFonts w:hint="eastAsia"/>
          <w:color w:val="000000" w:themeColor="text1"/>
          <w14:textFill>
            <w14:solidFill>
              <w14:schemeClr w14:val="tx1"/>
            </w14:solidFill>
          </w14:textFill>
        </w:rPr>
        <w:t>增加下列项目：</w:t>
      </w:r>
    </w:p>
    <w:p w14:paraId="1A0489B3">
      <w:pPr>
        <w:pStyle w:val="58"/>
        <w:numPr>
          <w:ilvl w:val="0"/>
          <w:numId w:val="34"/>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查阅电池系统检验周期内基本数据分析报告，确认</w:t>
      </w:r>
      <w:r>
        <w:rPr>
          <w:rFonts w:hint="eastAsia"/>
        </w:rPr>
        <w:t>电池系统安全运营状态</w:t>
      </w:r>
      <w:r>
        <w:rPr>
          <w:rFonts w:hint="eastAsia" w:ascii="Times New Roman"/>
          <w:color w:val="000000" w:themeColor="text1"/>
          <w14:textFill>
            <w14:solidFill>
              <w14:schemeClr w14:val="tx1"/>
            </w14:solidFill>
          </w14:textFill>
        </w:rPr>
        <w:t>；</w:t>
      </w:r>
    </w:p>
    <w:p w14:paraId="2394E96A">
      <w:pPr>
        <w:pStyle w:val="58"/>
        <w:numPr>
          <w:ilvl w:val="0"/>
          <w:numId w:val="34"/>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进行电池管理系统、船舶管理系统的效用试验，检查其供电和监测、报警、控制、保护等各项功能是否正常；</w:t>
      </w:r>
    </w:p>
    <w:p w14:paraId="4C69CD09">
      <w:pPr>
        <w:pStyle w:val="58"/>
        <w:numPr>
          <w:ilvl w:val="0"/>
          <w:numId w:val="34"/>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进行温度监测报警系统的效用试验，检查当蓄电池舱/蓄电池箱（柜）内的温度高于设定值时的报警是否有效；</w:t>
      </w:r>
    </w:p>
    <w:p w14:paraId="559CDBF4">
      <w:pPr>
        <w:pStyle w:val="58"/>
        <w:numPr>
          <w:ilvl w:val="0"/>
          <w:numId w:val="34"/>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进行可燃气体探测报警系统和应急排气系统的效用试验，并确认可燃气体报警时应急排气系统的自动启动、非合格防爆型电气设备的电源断开是否有效；</w:t>
      </w:r>
    </w:p>
    <w:p w14:paraId="39F1E5F9">
      <w:pPr>
        <w:pStyle w:val="58"/>
        <w:numPr>
          <w:ilvl w:val="0"/>
          <w:numId w:val="34"/>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进行蓄电池舱/蓄电池箱（柜）温度调节装置的效用试验，验证在充放电过程中，蓄电池舱/蓄电池箱（柜）内的温度应在允许范围之内；</w:t>
      </w:r>
    </w:p>
    <w:p w14:paraId="378AD446">
      <w:pPr>
        <w:pStyle w:val="58"/>
        <w:numPr>
          <w:ilvl w:val="0"/>
          <w:numId w:val="34"/>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检查配电系统汇流排母联保护装置、接触器或隔离开关的操作和互为备用的多套设备之间转换的有效性；</w:t>
      </w:r>
    </w:p>
    <w:p w14:paraId="79115745">
      <w:pPr>
        <w:pStyle w:val="58"/>
        <w:numPr>
          <w:ilvl w:val="0"/>
          <w:numId w:val="34"/>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对直流综合电力系统的报警和安全系统功能应尽实际可行进行试验加以验证；</w:t>
      </w:r>
    </w:p>
    <w:p w14:paraId="1863FB8F">
      <w:pPr>
        <w:pStyle w:val="58"/>
        <w:numPr>
          <w:ilvl w:val="0"/>
          <w:numId w:val="34"/>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进行推进系统的效用试验，检查系统的监测、报警、控制及保护功能是否正常；</w:t>
      </w:r>
    </w:p>
    <w:p w14:paraId="68ADFE46">
      <w:pPr>
        <w:pStyle w:val="58"/>
        <w:numPr>
          <w:ilvl w:val="0"/>
          <w:numId w:val="34"/>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箱式电源应进行换电操作试验。</w:t>
      </w:r>
    </w:p>
    <w:p w14:paraId="1D0E067F">
      <w:pPr>
        <w:pStyle w:val="41"/>
        <w:keepNext w:val="0"/>
        <w:keepLines w:val="0"/>
        <w:numPr>
          <w:ilvl w:val="2"/>
          <w:numId w:val="17"/>
        </w:numPr>
        <w:adjustRightInd w:val="0"/>
        <w:snapToGrid w:val="0"/>
        <w:spacing w:before="312" w:line="360" w:lineRule="auto"/>
        <w:ind w:firstLine="420" w:firstLineChars="200"/>
        <w:jc w:val="left"/>
        <w:rPr>
          <w:rFonts w:hint="eastAsia" w:ascii="Times New Roman"/>
          <w:color w:val="000000" w:themeColor="text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临时检验</w:t>
      </w:r>
    </w:p>
    <w:p w14:paraId="17AF2ECE">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在营运过程中，船舶所有人或经营人发现电池系统、配电系统有下列情况之一的，应当向检验机构立即申请临时检验：</w:t>
      </w:r>
    </w:p>
    <w:p w14:paraId="6703255C">
      <w:pPr>
        <w:pStyle w:val="58"/>
        <w:numPr>
          <w:ilvl w:val="0"/>
          <w:numId w:val="35"/>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因发生事故，影响电池系统或配电系统正常工作。包括但不限于：蓄电池发生热失控、遭受碰撞冲击或浸没；</w:t>
      </w:r>
    </w:p>
    <w:p w14:paraId="3882ED32">
      <w:pPr>
        <w:pStyle w:val="58"/>
        <w:numPr>
          <w:ilvl w:val="0"/>
          <w:numId w:val="35"/>
        </w:numPr>
        <w:spacing w:line="240" w:lineRule="auto"/>
        <w:rPr>
          <w:rFonts w:hint="eastAsia" w:ascii="Times New Roman"/>
          <w:color w:val="000000" w:themeColor="text1"/>
          <w14:textFill>
            <w14:solidFill>
              <w14:schemeClr w14:val="tx1"/>
            </w14:solidFill>
          </w14:textFill>
        </w:rPr>
      </w:pPr>
      <w:r>
        <w:rPr>
          <w:rFonts w:hint="eastAsia"/>
          <w:color w:val="000000" w:themeColor="text1"/>
          <w:szCs w:val="21"/>
          <w14:textFill>
            <w14:solidFill>
              <w14:schemeClr w14:val="tx1"/>
            </w14:solidFill>
          </w14:textFill>
        </w:rPr>
        <w:t>涉及电池系统或配电系统运行安全的修理、改装或换新，但重大改建除外。包括但不限于：蓄电池的换新、</w:t>
      </w:r>
      <w:r>
        <w:rPr>
          <w:rFonts w:hint="eastAsia" w:ascii="Times New Roman"/>
          <w:color w:val="000000" w:themeColor="text1"/>
          <w14:textFill>
            <w14:solidFill>
              <w14:schemeClr w14:val="tx1"/>
            </w14:solidFill>
          </w14:textFill>
        </w:rPr>
        <w:t>电池管理系统主要硬件和/或软件更新、配电系统主要部件更换和/或控制原理改变。</w:t>
      </w:r>
    </w:p>
    <w:p w14:paraId="2F7D31E3">
      <w:pPr>
        <w:pStyle w:val="27"/>
        <w:numPr>
          <w:ilvl w:val="1"/>
          <w:numId w:val="17"/>
        </w:numPr>
        <w:spacing w:before="312" w:after="312"/>
        <w:rPr>
          <w:rFonts w:ascii="Times New Roman" w:hAnsi="Times New Roman" w:cs="Times New Roman"/>
          <w:color w:val="000000" w:themeColor="text1"/>
          <w14:textFill>
            <w14:solidFill>
              <w14:schemeClr w14:val="tx1"/>
            </w14:solidFill>
          </w14:textFill>
        </w:rPr>
      </w:pPr>
      <w:bookmarkStart w:id="48" w:name="_Toc167869201"/>
      <w:r>
        <w:rPr>
          <w:rFonts w:hint="eastAsia" w:ascii="Times New Roman" w:hAnsi="Times New Roman" w:cs="Times New Roman"/>
          <w:color w:val="000000" w:themeColor="text1"/>
          <w14:textFill>
            <w14:solidFill>
              <w14:schemeClr w14:val="tx1"/>
            </w14:solidFill>
          </w14:textFill>
        </w:rPr>
        <w:t>证书</w:t>
      </w:r>
      <w:bookmarkEnd w:id="48"/>
    </w:p>
    <w:p w14:paraId="77C5BBFF">
      <w:pPr>
        <w:pStyle w:val="41"/>
        <w:keepNext w:val="0"/>
        <w:keepLines w:val="0"/>
        <w:numPr>
          <w:ilvl w:val="2"/>
          <w:numId w:val="17"/>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证书的签发及签署</w:t>
      </w:r>
    </w:p>
    <w:p w14:paraId="4300FF91">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纯电池动力船舶经检验合格后，船舶检验机构应签署《纯电池动力船舶附页》（格式和填写说明见本章附录1和附录2）。《纯电池动力船舶附页》与相应的船舶安全与环保证书或类似证书一同使用方为有效。</w:t>
      </w:r>
    </w:p>
    <w:p w14:paraId="32B1EA69">
      <w:pPr>
        <w:pStyle w:val="53"/>
        <w:numPr>
          <w:ilvl w:val="3"/>
          <w:numId w:val="17"/>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按本节2.3.1.1签署的《纯电池动力船舶附页》应连同相应证书存放于船上，以供随时检查。</w:t>
      </w:r>
    </w:p>
    <w:p w14:paraId="00D46F39">
      <w:pPr>
        <w:pStyle w:val="53"/>
        <w:spacing w:line="240" w:lineRule="auto"/>
        <w:ind w:left="420" w:firstLine="0"/>
        <w:rPr>
          <w:color w:val="000000" w:themeColor="text1"/>
          <w14:textFill>
            <w14:solidFill>
              <w14:schemeClr w14:val="tx1"/>
            </w14:solidFill>
          </w14:textFill>
        </w:rPr>
        <w:sectPr>
          <w:footerReference r:id="rId6" w:type="default"/>
          <w:pgSz w:w="11906" w:h="16838"/>
          <w:pgMar w:top="1440" w:right="1800" w:bottom="1440" w:left="1800" w:header="851" w:footer="992" w:gutter="0"/>
          <w:pgNumType w:start="1"/>
          <w:cols w:space="425" w:num="1"/>
          <w:docGrid w:type="lines" w:linePitch="312" w:charSpace="0"/>
        </w:sectPr>
      </w:pPr>
    </w:p>
    <w:p w14:paraId="75A1B9E1">
      <w:pPr>
        <w:pStyle w:val="27"/>
        <w:spacing w:before="312" w:after="312"/>
        <w:jc w:val="left"/>
        <w:rPr>
          <w:rFonts w:ascii="Times New Roman" w:hAnsi="Times New Roman" w:eastAsia="宋体" w:cs="Times New Roman"/>
          <w:color w:val="000000" w:themeColor="text1"/>
          <w:szCs w:val="21"/>
          <w14:textFill>
            <w14:solidFill>
              <w14:schemeClr w14:val="tx1"/>
            </w14:solidFill>
          </w14:textFill>
        </w:rPr>
      </w:pPr>
      <w:bookmarkStart w:id="49" w:name="_Toc167869202"/>
      <w:r>
        <w:rPr>
          <w:rFonts w:ascii="Times New Roman" w:hAnsi="宋体" w:eastAsia="宋体" w:cs="Times New Roman"/>
          <w:color w:val="000000" w:themeColor="text1"/>
          <w:szCs w:val="21"/>
          <w14:textFill>
            <w14:solidFill>
              <w14:schemeClr w14:val="tx1"/>
            </w14:solidFill>
          </w14:textFill>
        </w:rPr>
        <w:t>附录</w:t>
      </w:r>
      <w:r>
        <w:rPr>
          <w:rFonts w:hint="eastAsia" w:ascii="Times New Roman" w:hAnsi="Times New Roman" w:eastAsia="宋体" w:cs="Times New Roman"/>
          <w:color w:val="000000" w:themeColor="text1"/>
          <w:szCs w:val="21"/>
          <w14:textFill>
            <w14:solidFill>
              <w14:schemeClr w14:val="tx1"/>
            </w14:solidFill>
          </w14:textFill>
        </w:rPr>
        <w:t>1</w:t>
      </w:r>
      <w:bookmarkEnd w:id="49"/>
    </w:p>
    <w:p w14:paraId="5D81C44F">
      <w:pPr>
        <w:jc w:val="right"/>
        <w:rPr>
          <w:rFonts w:ascii="Times New Roman" w:hAnsi="Times New Roman" w:eastAsia="宋体" w:cs="Times New Roman"/>
          <w:color w:val="000000" w:themeColor="text1"/>
          <w:sz w:val="32"/>
          <w:szCs w:val="32"/>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格式：</w:t>
      </w:r>
      <w:r>
        <w:rPr>
          <w:rFonts w:ascii="Times New Roman" w:hAnsi="Times New Roman" w:eastAsia="宋体" w:cs="Times New Roman"/>
          <w:color w:val="000000" w:themeColor="text1"/>
          <w:szCs w:val="21"/>
          <w14:textFill>
            <w14:solidFill>
              <w14:schemeClr w14:val="tx1"/>
            </w14:solidFill>
          </w14:textFill>
        </w:rPr>
        <w:t>ZSFY/DCDL</w:t>
      </w:r>
    </w:p>
    <w:p w14:paraId="2167E5DC">
      <w:pPr>
        <w:jc w:val="center"/>
        <w:rPr>
          <w:rFonts w:hint="eastAsia" w:ascii="宋体" w:hAnsi="宋体" w:eastAsia="宋体" w:cs="宋体"/>
          <w:color w:val="000000" w:themeColor="text1"/>
          <w:sz w:val="52"/>
          <w:szCs w:val="52"/>
          <w14:textFill>
            <w14:solidFill>
              <w14:schemeClr w14:val="tx1"/>
            </w14:solidFill>
          </w14:textFill>
        </w:rPr>
      </w:pPr>
      <w:r>
        <w:rPr>
          <w:rFonts w:hint="eastAsia" w:ascii="宋体" w:hAnsi="宋体" w:eastAsia="宋体" w:cs="宋体"/>
          <w:color w:val="000000" w:themeColor="text1"/>
          <w:sz w:val="52"/>
          <w:szCs w:val="52"/>
          <w14:textFill>
            <w14:solidFill>
              <w14:schemeClr w14:val="tx1"/>
            </w14:solidFill>
          </w14:textFill>
        </w:rPr>
        <w:t>纯电池动力船舶附页</w:t>
      </w:r>
    </w:p>
    <w:p w14:paraId="172D97E7">
      <w:pPr>
        <w:jc w:val="center"/>
        <w:rPr>
          <w:rFonts w:hint="eastAsia" w:ascii="宋体" w:hAnsi="宋体" w:eastAsia="宋体" w:cs="宋体"/>
          <w:color w:val="000000" w:themeColor="text1"/>
          <w:sz w:val="52"/>
          <w:szCs w:val="52"/>
          <w14:textFill>
            <w14:solidFill>
              <w14:schemeClr w14:val="tx1"/>
            </w14:solidFill>
          </w14:textFill>
        </w:rPr>
      </w:pPr>
    </w:p>
    <w:p w14:paraId="7FF5D400">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船名</w:t>
      </w:r>
      <w:r>
        <w:rPr>
          <w:rFonts w:ascii="宋体" w:hAnsi="宋体" w:eastAsia="宋体" w:cs="宋体"/>
          <w:color w:val="000000" w:themeColor="text1"/>
          <w:sz w:val="24"/>
          <w:szCs w:val="24"/>
          <w14:textFill>
            <w14:solidFill>
              <w14:schemeClr w14:val="tx1"/>
            </w14:solidFill>
          </w14:textFill>
        </w:rPr>
        <w:t xml:space="preserve">______________             </w:t>
      </w:r>
      <w:r>
        <w:rPr>
          <w:rFonts w:hint="eastAsia" w:ascii="宋体" w:hAnsi="宋体" w:eastAsia="宋体" w:cs="宋体"/>
          <w:color w:val="000000" w:themeColor="text1"/>
          <w:sz w:val="24"/>
          <w:szCs w:val="24"/>
          <w14:textFill>
            <w14:solidFill>
              <w14:schemeClr w14:val="tx1"/>
            </w14:solidFill>
          </w14:textFill>
        </w:rPr>
        <w:t>船舶识别号</w:t>
      </w:r>
      <w:r>
        <w:rPr>
          <w:rFonts w:ascii="宋体" w:hAnsi="宋体" w:eastAsia="宋体" w:cs="宋体"/>
          <w:color w:val="000000" w:themeColor="text1"/>
          <w:sz w:val="24"/>
          <w:szCs w:val="24"/>
          <w14:textFill>
            <w14:solidFill>
              <w14:schemeClr w14:val="tx1"/>
            </w14:solidFill>
          </w14:textFill>
        </w:rPr>
        <w:t>______________</w:t>
      </w:r>
    </w:p>
    <w:p w14:paraId="6161D1B3">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船检登记号</w:t>
      </w:r>
      <w:r>
        <w:rPr>
          <w:rFonts w:ascii="宋体" w:hAnsi="宋体" w:eastAsia="宋体" w:cs="宋体"/>
          <w:color w:val="000000" w:themeColor="text1"/>
          <w:sz w:val="24"/>
          <w:szCs w:val="24"/>
          <w14:textFill>
            <w14:solidFill>
              <w14:schemeClr w14:val="tx1"/>
            </w14:solidFill>
          </w14:textFill>
        </w:rPr>
        <w:t>______________         检验编号______________</w:t>
      </w:r>
    </w:p>
    <w:p w14:paraId="3B910B4D">
      <w:pPr>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适用技术法规</w:t>
      </w:r>
      <w:r>
        <w:rPr>
          <w:rFonts w:ascii="宋体" w:hAnsi="宋体" w:eastAsia="宋体" w:cs="宋体"/>
          <w:color w:val="000000" w:themeColor="text1"/>
          <w:sz w:val="24"/>
          <w:szCs w:val="24"/>
          <w14:textFill>
            <w14:solidFill>
              <w14:schemeClr w14:val="tx1"/>
            </w14:solidFill>
          </w14:textFill>
        </w:rPr>
        <w:t>__________</w:t>
      </w:r>
      <w:r>
        <w:rPr>
          <w:rFonts w:hint="eastAsia" w:ascii="宋体" w:hAnsi="宋体" w:eastAsia="宋体" w:cs="宋体"/>
          <w:color w:val="000000" w:themeColor="text1"/>
          <w:sz w:val="24"/>
          <w:szCs w:val="24"/>
          <w14:textFill>
            <w14:solidFill>
              <w14:schemeClr w14:val="tx1"/>
            </w14:solidFill>
          </w14:textFill>
        </w:rPr>
        <w:t>年</w:t>
      </w:r>
      <w:r>
        <w:rPr>
          <w:rFonts w:ascii="宋体" w:hAnsi="宋体" w:eastAsia="宋体" w:cs="宋体"/>
          <w:color w:val="000000" w:themeColor="text1"/>
          <w:sz w:val="24"/>
          <w:szCs w:val="24"/>
          <w14:textFill>
            <w14:solidFill>
              <w14:schemeClr w14:val="tx1"/>
            </w14:solidFill>
          </w14:textFill>
        </w:rPr>
        <w:t>__________________________________________</w:t>
      </w:r>
      <w:r>
        <w:rPr>
          <w:rFonts w:hint="eastAsia" w:ascii="宋体" w:hAnsi="宋体" w:eastAsia="宋体" w:cs="宋体"/>
          <w:color w:val="000000" w:themeColor="text1"/>
          <w:sz w:val="24"/>
          <w:szCs w:val="24"/>
          <w14:textFill>
            <w14:solidFill>
              <w14:schemeClr w14:val="tx1"/>
            </w14:solidFill>
          </w14:textFill>
        </w:rPr>
        <w:t>。</w:t>
      </w:r>
    </w:p>
    <w:tbl>
      <w:tblPr>
        <w:tblStyle w:val="1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30"/>
        <w:gridCol w:w="1318"/>
        <w:gridCol w:w="2510"/>
        <w:gridCol w:w="1638"/>
      </w:tblGrid>
      <w:tr w14:paraId="382116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30" w:type="dxa"/>
          </w:tcPr>
          <w:p w14:paraId="5E857EB0">
            <w:pPr>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电池类型</w:t>
            </w:r>
          </w:p>
        </w:tc>
        <w:tc>
          <w:tcPr>
            <w:tcW w:w="1318" w:type="dxa"/>
          </w:tcPr>
          <w:p w14:paraId="4F61E19E">
            <w:pPr>
              <w:jc w:val="left"/>
              <w:rPr>
                <w:rFonts w:hint="eastAsia" w:ascii="宋体" w:hAnsi="宋体" w:eastAsia="宋体" w:cs="宋体"/>
                <w:color w:val="000000" w:themeColor="text1"/>
                <w:sz w:val="24"/>
                <w:szCs w:val="24"/>
                <w14:textFill>
                  <w14:solidFill>
                    <w14:schemeClr w14:val="tx1"/>
                  </w14:solidFill>
                </w14:textFill>
              </w:rPr>
            </w:pPr>
          </w:p>
        </w:tc>
        <w:tc>
          <w:tcPr>
            <w:tcW w:w="2510" w:type="dxa"/>
          </w:tcPr>
          <w:p w14:paraId="5A85566F">
            <w:pPr>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总电量</w:t>
            </w:r>
            <w:r>
              <w:rPr>
                <w:rFonts w:ascii="Times New Roman" w:hAnsi="宋体"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kWh</w:t>
            </w:r>
            <w:r>
              <w:rPr>
                <w:rFonts w:ascii="Times New Roman" w:hAnsi="宋体" w:eastAsia="宋体" w:cs="Times New Roman"/>
                <w:color w:val="000000" w:themeColor="text1"/>
                <w:sz w:val="24"/>
                <w:szCs w:val="24"/>
                <w14:textFill>
                  <w14:solidFill>
                    <w14:schemeClr w14:val="tx1"/>
                  </w14:solidFill>
                </w14:textFill>
              </w:rPr>
              <w:t>）</w:t>
            </w:r>
          </w:p>
        </w:tc>
        <w:tc>
          <w:tcPr>
            <w:tcW w:w="1638" w:type="dxa"/>
          </w:tcPr>
          <w:p w14:paraId="5D7E62DB">
            <w:pPr>
              <w:jc w:val="left"/>
              <w:rPr>
                <w:rFonts w:hint="eastAsia" w:ascii="宋体" w:hAnsi="宋体" w:eastAsia="宋体" w:cs="宋体"/>
                <w:color w:val="000000" w:themeColor="text1"/>
                <w:sz w:val="24"/>
                <w:szCs w:val="24"/>
                <w14:textFill>
                  <w14:solidFill>
                    <w14:schemeClr w14:val="tx1"/>
                  </w14:solidFill>
                </w14:textFill>
              </w:rPr>
            </w:pPr>
          </w:p>
        </w:tc>
      </w:tr>
      <w:tr w14:paraId="4EA6F9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30" w:type="dxa"/>
          </w:tcPr>
          <w:p w14:paraId="27FC5644">
            <w:pPr>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蓄电池舱数量（个）</w:t>
            </w:r>
          </w:p>
        </w:tc>
        <w:tc>
          <w:tcPr>
            <w:tcW w:w="1318" w:type="dxa"/>
          </w:tcPr>
          <w:p w14:paraId="15A76821">
            <w:pPr>
              <w:jc w:val="left"/>
              <w:rPr>
                <w:rFonts w:hint="eastAsia" w:ascii="宋体" w:hAnsi="宋体" w:eastAsia="宋体" w:cs="宋体"/>
                <w:color w:val="000000" w:themeColor="text1"/>
                <w:sz w:val="24"/>
                <w:szCs w:val="24"/>
                <w14:textFill>
                  <w14:solidFill>
                    <w14:schemeClr w14:val="tx1"/>
                  </w14:solidFill>
                </w14:textFill>
              </w:rPr>
            </w:pPr>
          </w:p>
        </w:tc>
        <w:tc>
          <w:tcPr>
            <w:tcW w:w="2510" w:type="dxa"/>
          </w:tcPr>
          <w:p w14:paraId="690DCBCC">
            <w:pPr>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箱式电源数量（个）</w:t>
            </w:r>
          </w:p>
        </w:tc>
        <w:tc>
          <w:tcPr>
            <w:tcW w:w="1638" w:type="dxa"/>
          </w:tcPr>
          <w:p w14:paraId="6204BC41">
            <w:pPr>
              <w:jc w:val="left"/>
              <w:rPr>
                <w:rFonts w:hint="eastAsia" w:ascii="宋体" w:hAnsi="宋体" w:eastAsia="宋体" w:cs="宋体"/>
                <w:color w:val="000000" w:themeColor="text1"/>
                <w:sz w:val="24"/>
                <w:szCs w:val="24"/>
                <w14:textFill>
                  <w14:solidFill>
                    <w14:schemeClr w14:val="tx1"/>
                  </w14:solidFill>
                </w14:textFill>
              </w:rPr>
            </w:pPr>
          </w:p>
        </w:tc>
      </w:tr>
      <w:tr w14:paraId="4551FD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30" w:type="dxa"/>
            <w:vMerge w:val="restart"/>
          </w:tcPr>
          <w:p w14:paraId="574F05A6">
            <w:pPr>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蓄电池箱（柜）数量（个）</w:t>
            </w:r>
          </w:p>
        </w:tc>
        <w:tc>
          <w:tcPr>
            <w:tcW w:w="1318" w:type="dxa"/>
            <w:vMerge w:val="restart"/>
          </w:tcPr>
          <w:p w14:paraId="731B0914">
            <w:pPr>
              <w:jc w:val="left"/>
              <w:rPr>
                <w:rFonts w:hint="eastAsia" w:ascii="宋体" w:hAnsi="宋体" w:eastAsia="宋体" w:cs="宋体"/>
                <w:color w:val="000000" w:themeColor="text1"/>
                <w:sz w:val="24"/>
                <w:szCs w:val="24"/>
                <w14:textFill>
                  <w14:solidFill>
                    <w14:schemeClr w14:val="tx1"/>
                  </w14:solidFill>
                </w14:textFill>
              </w:rPr>
            </w:pPr>
          </w:p>
        </w:tc>
        <w:tc>
          <w:tcPr>
            <w:tcW w:w="2510" w:type="dxa"/>
          </w:tcPr>
          <w:p w14:paraId="48D51F70">
            <w:pPr>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直流配电板型号</w:t>
            </w:r>
          </w:p>
        </w:tc>
        <w:tc>
          <w:tcPr>
            <w:tcW w:w="1638" w:type="dxa"/>
          </w:tcPr>
          <w:p w14:paraId="6892EFB9">
            <w:pPr>
              <w:jc w:val="left"/>
              <w:rPr>
                <w:rFonts w:hint="eastAsia" w:ascii="宋体" w:hAnsi="宋体" w:eastAsia="宋体" w:cs="宋体"/>
                <w:color w:val="000000" w:themeColor="text1"/>
                <w:sz w:val="24"/>
                <w:szCs w:val="24"/>
                <w14:textFill>
                  <w14:solidFill>
                    <w14:schemeClr w14:val="tx1"/>
                  </w14:solidFill>
                </w14:textFill>
              </w:rPr>
            </w:pPr>
          </w:p>
        </w:tc>
      </w:tr>
      <w:tr w14:paraId="776442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30" w:type="dxa"/>
            <w:vMerge w:val="continue"/>
          </w:tcPr>
          <w:p w14:paraId="34198BCD">
            <w:pPr>
              <w:jc w:val="left"/>
              <w:rPr>
                <w:rFonts w:hint="eastAsia" w:ascii="宋体" w:hAnsi="宋体" w:eastAsia="宋体" w:cs="宋体"/>
                <w:color w:val="000000" w:themeColor="text1"/>
                <w:sz w:val="24"/>
                <w:szCs w:val="24"/>
                <w14:textFill>
                  <w14:solidFill>
                    <w14:schemeClr w14:val="tx1"/>
                  </w14:solidFill>
                </w14:textFill>
              </w:rPr>
            </w:pPr>
          </w:p>
        </w:tc>
        <w:tc>
          <w:tcPr>
            <w:tcW w:w="1318" w:type="dxa"/>
            <w:vMerge w:val="continue"/>
          </w:tcPr>
          <w:p w14:paraId="12B31EFE">
            <w:pPr>
              <w:jc w:val="left"/>
              <w:rPr>
                <w:rFonts w:hint="eastAsia" w:ascii="宋体" w:hAnsi="宋体" w:eastAsia="宋体" w:cs="宋体"/>
                <w:color w:val="000000" w:themeColor="text1"/>
                <w:sz w:val="24"/>
                <w:szCs w:val="24"/>
                <w14:textFill>
                  <w14:solidFill>
                    <w14:schemeClr w14:val="tx1"/>
                  </w14:solidFill>
                </w14:textFill>
              </w:rPr>
            </w:pPr>
          </w:p>
        </w:tc>
        <w:tc>
          <w:tcPr>
            <w:tcW w:w="2510" w:type="dxa"/>
          </w:tcPr>
          <w:p w14:paraId="4AF1466D">
            <w:pPr>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交流配电板型号</w:t>
            </w:r>
          </w:p>
        </w:tc>
        <w:tc>
          <w:tcPr>
            <w:tcW w:w="1638" w:type="dxa"/>
          </w:tcPr>
          <w:p w14:paraId="27632D74">
            <w:pPr>
              <w:jc w:val="left"/>
              <w:rPr>
                <w:rFonts w:hint="eastAsia" w:ascii="宋体" w:hAnsi="宋体" w:eastAsia="宋体" w:cs="宋体"/>
                <w:color w:val="000000" w:themeColor="text1"/>
                <w:sz w:val="24"/>
                <w:szCs w:val="24"/>
                <w14:textFill>
                  <w14:solidFill>
                    <w14:schemeClr w14:val="tx1"/>
                  </w14:solidFill>
                </w14:textFill>
              </w:rPr>
            </w:pPr>
          </w:p>
        </w:tc>
      </w:tr>
      <w:tr w14:paraId="7CDDCF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296" w:type="dxa"/>
            <w:gridSpan w:val="4"/>
          </w:tcPr>
          <w:p w14:paraId="1EC3BACC">
            <w:pPr>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记事：</w:t>
            </w:r>
          </w:p>
          <w:p w14:paraId="7C83DBD5">
            <w:pPr>
              <w:jc w:val="left"/>
              <w:rPr>
                <w:rFonts w:hint="eastAsia" w:ascii="宋体" w:hAnsi="宋体" w:eastAsia="宋体" w:cs="宋体"/>
                <w:color w:val="000000" w:themeColor="text1"/>
                <w:sz w:val="24"/>
                <w:szCs w:val="24"/>
                <w14:textFill>
                  <w14:solidFill>
                    <w14:schemeClr w14:val="tx1"/>
                  </w14:solidFill>
                </w14:textFill>
              </w:rPr>
            </w:pPr>
          </w:p>
          <w:p w14:paraId="1A981079">
            <w:pPr>
              <w:jc w:val="left"/>
              <w:rPr>
                <w:rFonts w:hint="eastAsia" w:ascii="宋体" w:hAnsi="宋体" w:eastAsia="宋体" w:cs="宋体"/>
                <w:color w:val="000000" w:themeColor="text1"/>
                <w:sz w:val="24"/>
                <w:szCs w:val="24"/>
                <w14:textFill>
                  <w14:solidFill>
                    <w14:schemeClr w14:val="tx1"/>
                  </w14:solidFill>
                </w14:textFill>
              </w:rPr>
            </w:pPr>
          </w:p>
          <w:p w14:paraId="7D8F2D39">
            <w:pPr>
              <w:jc w:val="left"/>
              <w:rPr>
                <w:rFonts w:hint="eastAsia" w:ascii="宋体" w:hAnsi="宋体" w:eastAsia="宋体" w:cs="宋体"/>
                <w:color w:val="000000" w:themeColor="text1"/>
                <w:sz w:val="24"/>
                <w:szCs w:val="24"/>
                <w14:textFill>
                  <w14:solidFill>
                    <w14:schemeClr w14:val="tx1"/>
                  </w14:solidFill>
                </w14:textFill>
              </w:rPr>
            </w:pPr>
          </w:p>
          <w:p w14:paraId="7E46010C">
            <w:pPr>
              <w:jc w:val="left"/>
              <w:rPr>
                <w:rFonts w:hint="eastAsia" w:ascii="宋体" w:hAnsi="宋体" w:eastAsia="宋体" w:cs="宋体"/>
                <w:color w:val="000000" w:themeColor="text1"/>
                <w:sz w:val="24"/>
                <w:szCs w:val="24"/>
                <w14:textFill>
                  <w14:solidFill>
                    <w14:schemeClr w14:val="tx1"/>
                  </w14:solidFill>
                </w14:textFill>
              </w:rPr>
            </w:pPr>
          </w:p>
          <w:p w14:paraId="7F8960F1">
            <w:pPr>
              <w:jc w:val="left"/>
              <w:rPr>
                <w:rFonts w:hint="eastAsia" w:ascii="宋体" w:hAnsi="宋体" w:eastAsia="宋体" w:cs="宋体"/>
                <w:color w:val="000000" w:themeColor="text1"/>
                <w:sz w:val="24"/>
                <w:szCs w:val="24"/>
                <w14:textFill>
                  <w14:solidFill>
                    <w14:schemeClr w14:val="tx1"/>
                  </w14:solidFill>
                </w14:textFill>
              </w:rPr>
            </w:pPr>
          </w:p>
          <w:p w14:paraId="707A9110">
            <w:pPr>
              <w:jc w:val="left"/>
              <w:rPr>
                <w:rFonts w:hint="eastAsia" w:ascii="宋体" w:hAnsi="宋体" w:eastAsia="宋体" w:cs="宋体"/>
                <w:color w:val="000000" w:themeColor="text1"/>
                <w:sz w:val="24"/>
                <w:szCs w:val="24"/>
                <w14:textFill>
                  <w14:solidFill>
                    <w14:schemeClr w14:val="tx1"/>
                  </w14:solidFill>
                </w14:textFill>
              </w:rPr>
            </w:pPr>
          </w:p>
          <w:p w14:paraId="74794C63">
            <w:pPr>
              <w:jc w:val="left"/>
              <w:rPr>
                <w:rFonts w:hint="eastAsia" w:ascii="宋体" w:hAnsi="宋体" w:eastAsia="宋体" w:cs="宋体"/>
                <w:color w:val="000000" w:themeColor="text1"/>
                <w:sz w:val="24"/>
                <w:szCs w:val="24"/>
                <w14:textFill>
                  <w14:solidFill>
                    <w14:schemeClr w14:val="tx1"/>
                  </w14:solidFill>
                </w14:textFill>
              </w:rPr>
            </w:pPr>
          </w:p>
          <w:p w14:paraId="4A7A31ED">
            <w:pPr>
              <w:jc w:val="left"/>
              <w:rPr>
                <w:rFonts w:hint="eastAsia" w:ascii="宋体" w:hAnsi="宋体" w:eastAsia="宋体" w:cs="宋体"/>
                <w:color w:val="000000" w:themeColor="text1"/>
                <w:sz w:val="24"/>
                <w:szCs w:val="24"/>
                <w14:textFill>
                  <w14:solidFill>
                    <w14:schemeClr w14:val="tx1"/>
                  </w14:solidFill>
                </w14:textFill>
              </w:rPr>
            </w:pPr>
          </w:p>
          <w:p w14:paraId="186DD769">
            <w:pPr>
              <w:jc w:val="left"/>
              <w:rPr>
                <w:rFonts w:hint="eastAsia" w:ascii="宋体" w:hAnsi="宋体" w:eastAsia="宋体" w:cs="宋体"/>
                <w:color w:val="000000" w:themeColor="text1"/>
                <w:sz w:val="24"/>
                <w:szCs w:val="24"/>
                <w14:textFill>
                  <w14:solidFill>
                    <w14:schemeClr w14:val="tx1"/>
                  </w14:solidFill>
                </w14:textFill>
              </w:rPr>
            </w:pPr>
          </w:p>
          <w:p w14:paraId="68E42566">
            <w:pPr>
              <w:jc w:val="left"/>
              <w:rPr>
                <w:rFonts w:hint="eastAsia" w:ascii="宋体" w:hAnsi="宋体" w:eastAsia="宋体" w:cs="宋体"/>
                <w:color w:val="000000" w:themeColor="text1"/>
                <w:sz w:val="24"/>
                <w:szCs w:val="24"/>
                <w14:textFill>
                  <w14:solidFill>
                    <w14:schemeClr w14:val="tx1"/>
                  </w14:solidFill>
                </w14:textFill>
              </w:rPr>
            </w:pPr>
          </w:p>
          <w:p w14:paraId="58BB1910">
            <w:pPr>
              <w:jc w:val="left"/>
              <w:rPr>
                <w:rFonts w:hint="eastAsia" w:ascii="宋体" w:hAnsi="宋体" w:eastAsia="宋体" w:cs="宋体"/>
                <w:color w:val="000000" w:themeColor="text1"/>
                <w:sz w:val="24"/>
                <w:szCs w:val="24"/>
                <w14:textFill>
                  <w14:solidFill>
                    <w14:schemeClr w14:val="tx1"/>
                  </w14:solidFill>
                </w14:textFill>
              </w:rPr>
            </w:pPr>
          </w:p>
          <w:p w14:paraId="3FC45807">
            <w:pPr>
              <w:jc w:val="left"/>
              <w:rPr>
                <w:rFonts w:hint="eastAsia" w:ascii="宋体" w:hAnsi="宋体" w:eastAsia="宋体" w:cs="宋体"/>
                <w:color w:val="000000" w:themeColor="text1"/>
                <w:sz w:val="24"/>
                <w:szCs w:val="24"/>
                <w14:textFill>
                  <w14:solidFill>
                    <w14:schemeClr w14:val="tx1"/>
                  </w14:solidFill>
                </w14:textFill>
              </w:rPr>
            </w:pPr>
          </w:p>
          <w:p w14:paraId="5619E479">
            <w:pPr>
              <w:jc w:val="left"/>
              <w:rPr>
                <w:rFonts w:hint="eastAsia" w:ascii="宋体" w:hAnsi="宋体" w:eastAsia="宋体" w:cs="宋体"/>
                <w:color w:val="000000" w:themeColor="text1"/>
                <w:sz w:val="24"/>
                <w:szCs w:val="24"/>
                <w14:textFill>
                  <w14:solidFill>
                    <w14:schemeClr w14:val="tx1"/>
                  </w14:solidFill>
                </w14:textFill>
              </w:rPr>
            </w:pPr>
          </w:p>
          <w:p w14:paraId="4070EBD2">
            <w:pPr>
              <w:jc w:val="left"/>
              <w:rPr>
                <w:rFonts w:hint="eastAsia" w:ascii="宋体" w:hAnsi="宋体" w:eastAsia="宋体" w:cs="宋体"/>
                <w:color w:val="000000" w:themeColor="text1"/>
                <w:sz w:val="24"/>
                <w:szCs w:val="24"/>
                <w14:textFill>
                  <w14:solidFill>
                    <w14:schemeClr w14:val="tx1"/>
                  </w14:solidFill>
                </w14:textFill>
              </w:rPr>
            </w:pPr>
          </w:p>
          <w:p w14:paraId="2808BE30">
            <w:pPr>
              <w:jc w:val="left"/>
              <w:rPr>
                <w:rFonts w:hint="eastAsia" w:ascii="宋体" w:hAnsi="宋体" w:eastAsia="宋体" w:cs="宋体"/>
                <w:color w:val="000000" w:themeColor="text1"/>
                <w:sz w:val="24"/>
                <w:szCs w:val="24"/>
                <w14:textFill>
                  <w14:solidFill>
                    <w14:schemeClr w14:val="tx1"/>
                  </w14:solidFill>
                </w14:textFill>
              </w:rPr>
            </w:pPr>
          </w:p>
          <w:p w14:paraId="0443E681">
            <w:pPr>
              <w:jc w:val="left"/>
              <w:rPr>
                <w:rFonts w:hint="eastAsia" w:ascii="宋体" w:hAnsi="宋体" w:eastAsia="宋体" w:cs="宋体"/>
                <w:color w:val="000000" w:themeColor="text1"/>
                <w:sz w:val="24"/>
                <w:szCs w:val="24"/>
                <w14:textFill>
                  <w14:solidFill>
                    <w14:schemeClr w14:val="tx1"/>
                  </w14:solidFill>
                </w14:textFill>
              </w:rPr>
            </w:pPr>
          </w:p>
          <w:p w14:paraId="0A96AD23">
            <w:pPr>
              <w:jc w:val="left"/>
              <w:rPr>
                <w:rFonts w:hint="eastAsia" w:ascii="宋体" w:hAnsi="宋体" w:eastAsia="宋体" w:cs="宋体"/>
                <w:color w:val="000000" w:themeColor="text1"/>
                <w:sz w:val="24"/>
                <w:szCs w:val="24"/>
                <w14:textFill>
                  <w14:solidFill>
                    <w14:schemeClr w14:val="tx1"/>
                  </w14:solidFill>
                </w14:textFill>
              </w:rPr>
            </w:pPr>
          </w:p>
          <w:p w14:paraId="7E30CE4B">
            <w:pPr>
              <w:jc w:val="left"/>
              <w:rPr>
                <w:rFonts w:hint="eastAsia" w:ascii="宋体" w:hAnsi="宋体" w:eastAsia="宋体" w:cs="宋体"/>
                <w:color w:val="000000" w:themeColor="text1"/>
                <w:sz w:val="24"/>
                <w:szCs w:val="24"/>
                <w14:textFill>
                  <w14:solidFill>
                    <w14:schemeClr w14:val="tx1"/>
                  </w14:solidFill>
                </w14:textFill>
              </w:rPr>
            </w:pPr>
          </w:p>
          <w:p w14:paraId="262E862B">
            <w:pPr>
              <w:jc w:val="left"/>
              <w:rPr>
                <w:rFonts w:hint="eastAsia" w:ascii="宋体" w:hAnsi="宋体" w:eastAsia="宋体" w:cs="宋体"/>
                <w:color w:val="000000" w:themeColor="text1"/>
                <w:sz w:val="24"/>
                <w:szCs w:val="24"/>
                <w14:textFill>
                  <w14:solidFill>
                    <w14:schemeClr w14:val="tx1"/>
                  </w14:solidFill>
                </w14:textFill>
              </w:rPr>
            </w:pPr>
          </w:p>
          <w:p w14:paraId="10DBA5B1">
            <w:pPr>
              <w:jc w:val="left"/>
              <w:rPr>
                <w:rFonts w:hint="eastAsia" w:ascii="宋体" w:hAnsi="宋体" w:eastAsia="宋体" w:cs="宋体"/>
                <w:color w:val="000000" w:themeColor="text1"/>
                <w:sz w:val="24"/>
                <w:szCs w:val="24"/>
                <w14:textFill>
                  <w14:solidFill>
                    <w14:schemeClr w14:val="tx1"/>
                  </w14:solidFill>
                </w14:textFill>
              </w:rPr>
            </w:pPr>
          </w:p>
          <w:p w14:paraId="3907B4BA">
            <w:pPr>
              <w:jc w:val="left"/>
              <w:rPr>
                <w:rFonts w:hint="eastAsia" w:ascii="宋体" w:hAnsi="宋体" w:eastAsia="宋体" w:cs="宋体"/>
                <w:color w:val="000000" w:themeColor="text1"/>
                <w:sz w:val="24"/>
                <w:szCs w:val="24"/>
                <w14:textFill>
                  <w14:solidFill>
                    <w14:schemeClr w14:val="tx1"/>
                  </w14:solidFill>
                </w14:textFill>
              </w:rPr>
            </w:pPr>
          </w:p>
          <w:p w14:paraId="6E21D1BB">
            <w:pPr>
              <w:jc w:val="left"/>
              <w:rPr>
                <w:rFonts w:hint="eastAsia" w:ascii="宋体" w:hAnsi="宋体" w:eastAsia="宋体" w:cs="宋体"/>
                <w:color w:val="000000" w:themeColor="text1"/>
                <w:sz w:val="24"/>
                <w:szCs w:val="24"/>
                <w14:textFill>
                  <w14:solidFill>
                    <w14:schemeClr w14:val="tx1"/>
                  </w14:solidFill>
                </w14:textFill>
              </w:rPr>
            </w:pPr>
          </w:p>
          <w:p w14:paraId="70DA4554">
            <w:pPr>
              <w:jc w:val="left"/>
              <w:rPr>
                <w:rFonts w:hint="eastAsia" w:ascii="宋体" w:hAnsi="宋体" w:eastAsia="宋体" w:cs="宋体"/>
                <w:color w:val="000000" w:themeColor="text1"/>
                <w:sz w:val="24"/>
                <w:szCs w:val="24"/>
                <w14:textFill>
                  <w14:solidFill>
                    <w14:schemeClr w14:val="tx1"/>
                  </w14:solidFill>
                </w14:textFill>
              </w:rPr>
            </w:pPr>
          </w:p>
          <w:p w14:paraId="526BBE19">
            <w:pPr>
              <w:jc w:val="left"/>
              <w:rPr>
                <w:rFonts w:hint="eastAsia" w:ascii="宋体" w:hAnsi="宋体" w:eastAsia="宋体" w:cs="宋体"/>
                <w:color w:val="000000" w:themeColor="text1"/>
                <w:sz w:val="24"/>
                <w:szCs w:val="24"/>
                <w14:textFill>
                  <w14:solidFill>
                    <w14:schemeClr w14:val="tx1"/>
                  </w14:solidFill>
                </w14:textFill>
              </w:rPr>
            </w:pPr>
          </w:p>
          <w:p w14:paraId="030EDF04">
            <w:pPr>
              <w:jc w:val="left"/>
              <w:rPr>
                <w:rFonts w:hint="eastAsia" w:ascii="宋体" w:hAnsi="宋体" w:eastAsia="宋体" w:cs="宋体"/>
                <w:color w:val="000000" w:themeColor="text1"/>
                <w:sz w:val="24"/>
                <w:szCs w:val="24"/>
                <w14:textFill>
                  <w14:solidFill>
                    <w14:schemeClr w14:val="tx1"/>
                  </w14:solidFill>
                </w14:textFill>
              </w:rPr>
            </w:pPr>
          </w:p>
          <w:p w14:paraId="0A48EEE6">
            <w:pPr>
              <w:jc w:val="left"/>
              <w:rPr>
                <w:rFonts w:hint="eastAsia" w:ascii="宋体" w:hAnsi="宋体" w:eastAsia="宋体" w:cs="宋体"/>
                <w:color w:val="000000" w:themeColor="text1"/>
                <w:sz w:val="24"/>
                <w:szCs w:val="24"/>
                <w14:textFill>
                  <w14:solidFill>
                    <w14:schemeClr w14:val="tx1"/>
                  </w14:solidFill>
                </w14:textFill>
              </w:rPr>
            </w:pPr>
          </w:p>
        </w:tc>
      </w:tr>
    </w:tbl>
    <w:p w14:paraId="55185D2D">
      <w:pPr>
        <w:jc w:val="left"/>
        <w:rPr>
          <w:rFonts w:hint="eastAsia" w:ascii="宋体" w:hAnsi="宋体" w:eastAsia="宋体" w:cs="宋体"/>
          <w:color w:val="000000" w:themeColor="text1"/>
          <w:szCs w:val="21"/>
          <w14:textFill>
            <w14:solidFill>
              <w14:schemeClr w14:val="tx1"/>
            </w14:solidFill>
          </w14:textFill>
        </w:rPr>
      </w:pPr>
    </w:p>
    <w:p w14:paraId="43A3082E">
      <w:pPr>
        <w:jc w:val="left"/>
        <w:rPr>
          <w:rFonts w:hint="eastAsia" w:ascii="宋体" w:hAnsi="宋体" w:eastAsia="宋体" w:cs="宋体"/>
          <w:color w:val="000000" w:themeColor="text1"/>
          <w:szCs w:val="21"/>
          <w14:textFill>
            <w14:solidFill>
              <w14:schemeClr w14:val="tx1"/>
            </w14:solidFill>
          </w14:textFill>
        </w:rPr>
      </w:pPr>
    </w:p>
    <w:p w14:paraId="592796A0">
      <w:pPr>
        <w:pStyle w:val="27"/>
        <w:spacing w:before="312" w:after="312"/>
        <w:jc w:val="left"/>
        <w:rPr>
          <w:rFonts w:ascii="Times New Roman" w:hAnsi="Times New Roman" w:eastAsia="宋体" w:cs="Times New Roman"/>
          <w:color w:val="000000" w:themeColor="text1"/>
          <w:szCs w:val="21"/>
          <w14:textFill>
            <w14:solidFill>
              <w14:schemeClr w14:val="tx1"/>
            </w14:solidFill>
          </w14:textFill>
        </w:rPr>
      </w:pPr>
      <w:bookmarkStart w:id="50" w:name="_Toc167869203"/>
      <w:r>
        <w:rPr>
          <w:rFonts w:ascii="Times New Roman" w:hAnsi="宋体" w:eastAsia="宋体" w:cs="Times New Roman"/>
          <w:color w:val="000000" w:themeColor="text1"/>
          <w:szCs w:val="21"/>
          <w14:textFill>
            <w14:solidFill>
              <w14:schemeClr w14:val="tx1"/>
            </w14:solidFill>
          </w14:textFill>
        </w:rPr>
        <w:t>附录</w:t>
      </w:r>
      <w:r>
        <w:rPr>
          <w:rFonts w:hint="eastAsia" w:ascii="Times New Roman" w:hAnsi="Times New Roman" w:eastAsia="宋体" w:cs="Times New Roman"/>
          <w:color w:val="000000" w:themeColor="text1"/>
          <w:szCs w:val="21"/>
          <w14:textFill>
            <w14:solidFill>
              <w14:schemeClr w14:val="tx1"/>
            </w14:solidFill>
          </w14:textFill>
        </w:rPr>
        <w:t>2</w:t>
      </w:r>
      <w:bookmarkEnd w:id="50"/>
    </w:p>
    <w:p w14:paraId="141DBE08">
      <w:pPr>
        <w:widowControl/>
        <w:jc w:val="center"/>
        <w:rPr>
          <w:rFonts w:hint="eastAsia"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纯电池动力船舶附页填写说明</w:t>
      </w:r>
    </w:p>
    <w:p w14:paraId="245DDD93">
      <w:pPr>
        <w:widowControl/>
        <w:jc w:val="left"/>
        <w:rPr>
          <w:rFonts w:ascii="Times New Roman" w:hAnsi="Times New Roman" w:eastAsia="宋体" w:cs="Times New Roman"/>
          <w:color w:val="000000" w:themeColor="text1"/>
          <w:kern w:val="0"/>
          <w:szCs w:val="21"/>
          <w14:textFill>
            <w14:solidFill>
              <w14:schemeClr w14:val="tx1"/>
            </w14:solidFill>
          </w14:textFill>
        </w:rPr>
      </w:pPr>
    </w:p>
    <w:p w14:paraId="63B688F8">
      <w:pPr>
        <w:widowControl/>
        <w:numPr>
          <w:ilvl w:val="0"/>
          <w:numId w:val="36"/>
        </w:numPr>
        <w:jc w:val="left"/>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纯电池动力船舶</w:t>
      </w:r>
      <w:r>
        <w:rPr>
          <w:rFonts w:hint="eastAsia" w:ascii="宋体" w:hAnsi="宋体" w:eastAsia="宋体" w:cs="宋体"/>
          <w:color w:val="000000" w:themeColor="text1"/>
          <w:szCs w:val="21"/>
          <w14:textFill>
            <w14:solidFill>
              <w14:schemeClr w14:val="tx1"/>
            </w14:solidFill>
          </w14:textFill>
        </w:rPr>
        <w:t>附页</w:t>
      </w:r>
    </w:p>
    <w:p w14:paraId="514ECF39">
      <w:pPr>
        <w:pStyle w:val="52"/>
        <w:widowControl/>
        <w:numPr>
          <w:ilvl w:val="1"/>
          <w:numId w:val="37"/>
        </w:numPr>
        <w:ind w:firstLineChars="0"/>
        <w:jc w:val="left"/>
        <w:rPr>
          <w:rFonts w:hint="eastAsia" w:ascii="Times New Roman" w:hAnsi="宋体"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船名：船舶所有权登记证书上的船名，与《国内航行海船安全与环保证书》或《内河船舶安全与环保证书》上的一致。</w:t>
      </w:r>
    </w:p>
    <w:p w14:paraId="5C17C87B">
      <w:pPr>
        <w:pStyle w:val="52"/>
        <w:widowControl/>
        <w:numPr>
          <w:ilvl w:val="1"/>
          <w:numId w:val="37"/>
        </w:numPr>
        <w:ind w:firstLineChars="0"/>
        <w:jc w:val="left"/>
        <w:rPr>
          <w:rFonts w:hint="eastAsia" w:ascii="Times New Roman" w:hAnsi="宋体"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船舶识别号：同《国内航行海船安全与环保证书》或《内河船舶安全与环保证书》上的船舶识别号。</w:t>
      </w:r>
    </w:p>
    <w:p w14:paraId="0AED3EB0">
      <w:pPr>
        <w:pStyle w:val="52"/>
        <w:widowControl/>
        <w:numPr>
          <w:ilvl w:val="1"/>
          <w:numId w:val="37"/>
        </w:numPr>
        <w:ind w:firstLineChars="0"/>
        <w:jc w:val="left"/>
        <w:rPr>
          <w:rFonts w:hint="eastAsia" w:ascii="Times New Roman" w:hAnsi="宋体"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船检登记号：同《国内航行海船安全与环保证书》或《内河船舶安全与环保证书》上的船检登记号。</w:t>
      </w:r>
    </w:p>
    <w:p w14:paraId="15327ED3">
      <w:pPr>
        <w:pStyle w:val="52"/>
        <w:widowControl/>
        <w:numPr>
          <w:ilvl w:val="1"/>
          <w:numId w:val="37"/>
        </w:numPr>
        <w:ind w:firstLineChars="0"/>
        <w:jc w:val="left"/>
        <w:rPr>
          <w:rFonts w:hint="eastAsia" w:ascii="Times New Roman" w:hAnsi="宋体"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检验编号：为签发该附页时的检验编号，加盖发证机关业务用章。</w:t>
      </w:r>
    </w:p>
    <w:p w14:paraId="2594C16D">
      <w:pPr>
        <w:pStyle w:val="52"/>
        <w:widowControl/>
        <w:numPr>
          <w:ilvl w:val="1"/>
          <w:numId w:val="37"/>
        </w:numPr>
        <w:ind w:firstLineChars="0"/>
        <w:jc w:val="left"/>
        <w:rPr>
          <w:rFonts w:hint="eastAsia" w:ascii="Times New Roman" w:hAnsi="宋体" w:eastAsia="宋体" w:cs="Times New Roman"/>
          <w:color w:val="000000" w:themeColor="text1"/>
          <w:szCs w:val="21"/>
          <w14:textFill>
            <w14:solidFill>
              <w14:schemeClr w14:val="tx1"/>
            </w14:solidFill>
          </w14:textFill>
        </w:rPr>
      </w:pPr>
      <w:r>
        <w:rPr>
          <w:rFonts w:hint="eastAsia" w:ascii="Times New Roman" w:hAnsi="宋体" w:eastAsia="宋体" w:cs="Times New Roman"/>
          <w:color w:val="000000" w:themeColor="text1"/>
          <w:szCs w:val="21"/>
          <w14:textFill>
            <w14:solidFill>
              <w14:schemeClr w14:val="tx1"/>
            </w14:solidFill>
          </w14:textFill>
        </w:rPr>
        <w:t>适用技术法规____年_________：填写检验所依据的纯电池动力船舶技术法规具体名称及版本。</w:t>
      </w:r>
    </w:p>
    <w:p w14:paraId="0A672DC4">
      <w:pPr>
        <w:pStyle w:val="52"/>
        <w:widowControl/>
        <w:numPr>
          <w:ilvl w:val="1"/>
          <w:numId w:val="37"/>
        </w:numPr>
        <w:ind w:firstLineChars="0"/>
        <w:jc w:val="left"/>
        <w:rPr>
          <w:rFonts w:hint="eastAsia" w:ascii="Times New Roman" w:hAnsi="宋体" w:eastAsia="宋体" w:cs="Times New Roman"/>
          <w:color w:val="000000" w:themeColor="text1"/>
          <w:szCs w:val="21"/>
          <w14:textFill>
            <w14:solidFill>
              <w14:schemeClr w14:val="tx1"/>
            </w14:solidFill>
          </w14:textFill>
        </w:rPr>
      </w:pPr>
      <w:r>
        <w:rPr>
          <w:rFonts w:hint="eastAsia" w:ascii="Times New Roman" w:hAnsi="宋体" w:eastAsia="宋体" w:cs="Times New Roman"/>
          <w:color w:val="000000" w:themeColor="text1"/>
          <w:szCs w:val="21"/>
          <w14:textFill>
            <w14:solidFill>
              <w14:schemeClr w14:val="tx1"/>
            </w14:solidFill>
          </w14:textFill>
        </w:rPr>
        <w:t>电池类型</w:t>
      </w:r>
      <w:r>
        <w:rPr>
          <w:rFonts w:ascii="Times New Roman" w:hAnsi="宋体" w:eastAsia="宋体" w:cs="Times New Roman"/>
          <w:color w:val="000000" w:themeColor="text1"/>
          <w:szCs w:val="21"/>
          <w14:textFill>
            <w14:solidFill>
              <w14:schemeClr w14:val="tx1"/>
            </w14:solidFill>
          </w14:textFill>
        </w:rPr>
        <w:t>：填写</w:t>
      </w:r>
      <w:r>
        <w:rPr>
          <w:rFonts w:hint="eastAsia" w:ascii="Times New Roman" w:hAnsi="宋体" w:eastAsia="宋体" w:cs="Times New Roman"/>
          <w:color w:val="000000" w:themeColor="text1"/>
          <w:szCs w:val="21"/>
          <w14:textFill>
            <w14:solidFill>
              <w14:schemeClr w14:val="tx1"/>
            </w14:solidFill>
          </w14:textFill>
        </w:rPr>
        <w:t>蓄电池的类型，如</w:t>
      </w:r>
      <w:r>
        <w:rPr>
          <w:rFonts w:ascii="Times New Roman" w:hAnsi="宋体" w:eastAsia="宋体" w:cs="Times New Roman"/>
          <w:color w:val="000000" w:themeColor="text1"/>
          <w:szCs w:val="21"/>
          <w14:textFill>
            <w14:solidFill>
              <w14:schemeClr w14:val="tx1"/>
            </w14:solidFill>
          </w14:textFill>
        </w:rPr>
        <w:t>磷酸铁锂电池</w:t>
      </w:r>
      <w:r>
        <w:rPr>
          <w:rFonts w:hint="eastAsia" w:ascii="Times New Roman" w:hAnsi="宋体" w:eastAsia="宋体" w:cs="Times New Roman"/>
          <w:color w:val="000000" w:themeColor="text1"/>
          <w:szCs w:val="21"/>
          <w14:textFill>
            <w14:solidFill>
              <w14:schemeClr w14:val="tx1"/>
            </w14:solidFill>
          </w14:textFill>
        </w:rPr>
        <w:t>、能量型超级电容器。</w:t>
      </w:r>
    </w:p>
    <w:p w14:paraId="477CB079">
      <w:pPr>
        <w:pStyle w:val="52"/>
        <w:widowControl/>
        <w:numPr>
          <w:ilvl w:val="1"/>
          <w:numId w:val="37"/>
        </w:numPr>
        <w:ind w:firstLineChars="0"/>
        <w:jc w:val="left"/>
        <w:rPr>
          <w:rFonts w:hint="eastAsia" w:ascii="Times New Roman" w:hAnsi="宋体"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总电量</w:t>
      </w:r>
      <w:r>
        <w:rPr>
          <w:rFonts w:hint="eastAsia" w:ascii="Times New Roman" w:hAnsi="宋体" w:eastAsia="宋体" w:cs="Times New Roman"/>
          <w:color w:val="000000" w:themeColor="text1"/>
          <w:szCs w:val="21"/>
          <w14:textFill>
            <w14:solidFill>
              <w14:schemeClr w14:val="tx1"/>
            </w14:solidFill>
          </w14:textFill>
        </w:rPr>
        <w:t>（</w:t>
      </w:r>
      <w:r>
        <w:rPr>
          <w:rFonts w:ascii="Times New Roman" w:hAnsi="宋体" w:eastAsia="宋体" w:cs="Times New Roman"/>
          <w:color w:val="000000" w:themeColor="text1"/>
          <w:szCs w:val="21"/>
          <w14:textFill>
            <w14:solidFill>
              <w14:schemeClr w14:val="tx1"/>
            </w14:solidFill>
          </w14:textFill>
        </w:rPr>
        <w:t>kWh</w:t>
      </w:r>
      <w:r>
        <w:rPr>
          <w:rFonts w:hint="eastAsia" w:ascii="Times New Roman" w:hAnsi="宋体" w:eastAsia="宋体" w:cs="Times New Roman"/>
          <w:color w:val="000000" w:themeColor="text1"/>
          <w:szCs w:val="21"/>
          <w14:textFill>
            <w14:solidFill>
              <w14:schemeClr w14:val="tx1"/>
            </w14:solidFill>
          </w14:textFill>
        </w:rPr>
        <w:t>）</w:t>
      </w:r>
      <w:r>
        <w:rPr>
          <w:rFonts w:ascii="Times New Roman" w:hAnsi="宋体" w:eastAsia="宋体" w:cs="Times New Roman"/>
          <w:color w:val="000000" w:themeColor="text1"/>
          <w:szCs w:val="21"/>
          <w14:textFill>
            <w14:solidFill>
              <w14:schemeClr w14:val="tx1"/>
            </w14:solidFill>
          </w14:textFill>
        </w:rPr>
        <w:t>：填写</w:t>
      </w:r>
      <w:r>
        <w:rPr>
          <w:rFonts w:hint="eastAsia" w:ascii="Times New Roman" w:hAnsi="宋体" w:eastAsia="宋体" w:cs="Times New Roman"/>
          <w:color w:val="000000" w:themeColor="text1"/>
          <w:szCs w:val="21"/>
          <w14:textFill>
            <w14:solidFill>
              <w14:schemeClr w14:val="tx1"/>
            </w14:solidFill>
          </w14:textFill>
        </w:rPr>
        <w:t>船舶</w:t>
      </w:r>
      <w:r>
        <w:rPr>
          <w:rFonts w:ascii="Times New Roman" w:hAnsi="宋体" w:eastAsia="宋体" w:cs="Times New Roman"/>
          <w:color w:val="000000" w:themeColor="text1"/>
          <w:szCs w:val="21"/>
          <w14:textFill>
            <w14:solidFill>
              <w14:schemeClr w14:val="tx1"/>
            </w14:solidFill>
          </w14:textFill>
        </w:rPr>
        <w:t>电池系统的总电量</w:t>
      </w:r>
      <w:r>
        <w:rPr>
          <w:rFonts w:hint="eastAsia" w:ascii="Times New Roman" w:hAnsi="宋体" w:eastAsia="宋体" w:cs="Times New Roman"/>
          <w:color w:val="000000" w:themeColor="text1"/>
          <w:szCs w:val="21"/>
          <w14:textFill>
            <w14:solidFill>
              <w14:schemeClr w14:val="tx1"/>
            </w14:solidFill>
          </w14:textFill>
        </w:rPr>
        <w:t>。</w:t>
      </w:r>
    </w:p>
    <w:p w14:paraId="5BAF1439">
      <w:pPr>
        <w:pStyle w:val="52"/>
        <w:widowControl/>
        <w:numPr>
          <w:ilvl w:val="1"/>
          <w:numId w:val="37"/>
        </w:numPr>
        <w:ind w:firstLineChars="0"/>
        <w:jc w:val="left"/>
        <w:rPr>
          <w:rFonts w:hint="eastAsia" w:ascii="Times New Roman" w:hAnsi="宋体"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蓄电池舱数量（个）：当船舶设置蓄电池舱时，填写蓄电池舱</w:t>
      </w:r>
      <w:r>
        <w:rPr>
          <w:rFonts w:hint="eastAsia" w:ascii="Times New Roman" w:hAnsi="宋体" w:eastAsia="宋体" w:cs="Times New Roman"/>
          <w:color w:val="000000" w:themeColor="text1"/>
          <w:szCs w:val="21"/>
          <w14:textFill>
            <w14:solidFill>
              <w14:schemeClr w14:val="tx1"/>
            </w14:solidFill>
          </w14:textFill>
        </w:rPr>
        <w:t>的数量。</w:t>
      </w:r>
    </w:p>
    <w:p w14:paraId="39C58A9E">
      <w:pPr>
        <w:pStyle w:val="52"/>
        <w:widowControl/>
        <w:numPr>
          <w:ilvl w:val="1"/>
          <w:numId w:val="37"/>
        </w:numPr>
        <w:ind w:firstLineChars="0"/>
        <w:jc w:val="left"/>
        <w:rPr>
          <w:rFonts w:hint="eastAsia" w:ascii="Times New Roman" w:hAnsi="宋体"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箱式电源数量（个）：当船舶设置箱式电源时，填写</w:t>
      </w:r>
      <w:r>
        <w:rPr>
          <w:rFonts w:hint="eastAsia" w:ascii="Times New Roman" w:hAnsi="宋体" w:eastAsia="宋体" w:cs="Times New Roman"/>
          <w:color w:val="000000" w:themeColor="text1"/>
          <w:szCs w:val="21"/>
          <w14:textFill>
            <w14:solidFill>
              <w14:schemeClr w14:val="tx1"/>
            </w14:solidFill>
          </w14:textFill>
        </w:rPr>
        <w:t>所配备的</w:t>
      </w:r>
      <w:r>
        <w:rPr>
          <w:rFonts w:ascii="Times New Roman" w:hAnsi="宋体" w:eastAsia="宋体" w:cs="Times New Roman"/>
          <w:color w:val="000000" w:themeColor="text1"/>
          <w:szCs w:val="21"/>
          <w14:textFill>
            <w14:solidFill>
              <w14:schemeClr w14:val="tx1"/>
            </w14:solidFill>
          </w14:textFill>
        </w:rPr>
        <w:t>箱式电源</w:t>
      </w:r>
      <w:r>
        <w:rPr>
          <w:rFonts w:hint="eastAsia" w:ascii="Times New Roman" w:hAnsi="宋体" w:eastAsia="宋体" w:cs="Times New Roman"/>
          <w:color w:val="000000" w:themeColor="text1"/>
          <w:szCs w:val="21"/>
          <w14:textFill>
            <w14:solidFill>
              <w14:schemeClr w14:val="tx1"/>
            </w14:solidFill>
          </w14:textFill>
        </w:rPr>
        <w:t>的数量。</w:t>
      </w:r>
    </w:p>
    <w:p w14:paraId="066BBD25">
      <w:pPr>
        <w:pStyle w:val="52"/>
        <w:widowControl/>
        <w:numPr>
          <w:ilvl w:val="1"/>
          <w:numId w:val="37"/>
        </w:numPr>
        <w:ind w:firstLineChars="0"/>
        <w:jc w:val="left"/>
        <w:rPr>
          <w:rFonts w:hint="eastAsia" w:ascii="Times New Roman" w:hAnsi="宋体" w:eastAsia="宋体" w:cs="Times New Roman"/>
          <w:color w:val="000000" w:themeColor="text1"/>
          <w:szCs w:val="21"/>
          <w14:textFill>
            <w14:solidFill>
              <w14:schemeClr w14:val="tx1"/>
            </w14:solidFill>
          </w14:textFill>
        </w:rPr>
      </w:pPr>
      <w:r>
        <w:rPr>
          <w:rFonts w:hint="eastAsia"/>
        </w:rPr>
        <w:t>蓄</w:t>
      </w:r>
      <w:r>
        <w:t>电池箱（柜）</w:t>
      </w:r>
      <w:r>
        <w:rPr>
          <w:rFonts w:hint="eastAsia"/>
        </w:rPr>
        <w:t>（个）：填写开敞甲板上设置的蓄</w:t>
      </w:r>
      <w:r>
        <w:t>电池箱（柜）</w:t>
      </w:r>
      <w:r>
        <w:rPr>
          <w:rFonts w:hint="eastAsia"/>
        </w:rPr>
        <w:t>的数量。</w:t>
      </w:r>
    </w:p>
    <w:p w14:paraId="551E5FA3">
      <w:pPr>
        <w:pStyle w:val="52"/>
        <w:widowControl/>
        <w:numPr>
          <w:ilvl w:val="1"/>
          <w:numId w:val="37"/>
        </w:numPr>
        <w:ind w:firstLineChars="0"/>
        <w:jc w:val="left"/>
        <w:rPr>
          <w:rFonts w:hint="eastAsia" w:ascii="Times New Roman" w:hAnsi="宋体" w:eastAsia="宋体" w:cs="Times New Roman"/>
          <w:color w:val="000000" w:themeColor="text1"/>
          <w:szCs w:val="21"/>
          <w14:textFill>
            <w14:solidFill>
              <w14:schemeClr w14:val="tx1"/>
            </w14:solidFill>
          </w14:textFill>
        </w:rPr>
      </w:pPr>
      <w:r>
        <w:rPr>
          <w:rFonts w:hint="eastAsia" w:ascii="Times New Roman" w:hAnsi="宋体" w:eastAsia="宋体" w:cs="Times New Roman"/>
          <w:color w:val="000000" w:themeColor="text1"/>
          <w:szCs w:val="21"/>
          <w14:textFill>
            <w14:solidFill>
              <w14:schemeClr w14:val="tx1"/>
            </w14:solidFill>
          </w14:textFill>
        </w:rPr>
        <w:t>直流配电板型号、交流配电板型号：按产品证书或铭牌填写。</w:t>
      </w:r>
    </w:p>
    <w:p w14:paraId="58F6D768">
      <w:pPr>
        <w:pStyle w:val="52"/>
        <w:widowControl/>
        <w:numPr>
          <w:ilvl w:val="1"/>
          <w:numId w:val="37"/>
        </w:numPr>
        <w:ind w:firstLineChars="0"/>
        <w:jc w:val="left"/>
        <w:rPr>
          <w:rFonts w:hint="eastAsia" w:ascii="Times New Roman" w:hAnsi="宋体"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记事：填写检验单位认为应记录的事项</w:t>
      </w:r>
      <w:r>
        <w:rPr>
          <w:rFonts w:hint="eastAsia" w:ascii="Times New Roman" w:hAnsi="宋体" w:eastAsia="宋体" w:cs="Times New Roman"/>
          <w:color w:val="000000" w:themeColor="text1"/>
          <w:szCs w:val="21"/>
          <w14:textFill>
            <w14:solidFill>
              <w14:schemeClr w14:val="tx1"/>
            </w14:solidFill>
          </w14:textFill>
        </w:rPr>
        <w:t>（包括蓄电池</w:t>
      </w:r>
      <w:r>
        <w:rPr>
          <w:rFonts w:ascii="Times New Roman" w:hAnsi="宋体" w:eastAsia="宋体" w:cs="Times New Roman"/>
          <w:color w:val="000000" w:themeColor="text1"/>
          <w:szCs w:val="21"/>
          <w14:textFill>
            <w14:solidFill>
              <w14:schemeClr w14:val="tx1"/>
            </w14:solidFill>
          </w14:textFill>
        </w:rPr>
        <w:t>/</w:t>
      </w:r>
      <w:r>
        <w:rPr>
          <w:rFonts w:hint="eastAsia" w:ascii="Times New Roman" w:hAnsi="宋体" w:eastAsia="宋体" w:cs="Times New Roman"/>
          <w:color w:val="000000" w:themeColor="text1"/>
          <w:szCs w:val="21"/>
          <w14:textFill>
            <w14:solidFill>
              <w14:schemeClr w14:val="tx1"/>
            </w14:solidFill>
          </w14:textFill>
        </w:rPr>
        <w:t>蓄电池包的型号、额定容量、额定电压等相关参数）</w:t>
      </w:r>
      <w:r>
        <w:rPr>
          <w:rFonts w:ascii="Times New Roman" w:hAnsi="宋体" w:eastAsia="宋体" w:cs="Times New Roman"/>
          <w:color w:val="000000" w:themeColor="text1"/>
          <w:szCs w:val="21"/>
          <w14:textFill>
            <w14:solidFill>
              <w14:schemeClr w14:val="tx1"/>
            </w14:solidFill>
          </w14:textFill>
        </w:rPr>
        <w:t>。</w:t>
      </w:r>
    </w:p>
    <w:p w14:paraId="5DF13B3B">
      <w:pPr>
        <w:jc w:val="center"/>
        <w:rPr>
          <w:rFonts w:hint="eastAsia" w:ascii="宋体" w:hAnsi="宋体" w:eastAsia="宋体" w:cs="宋体"/>
          <w:color w:val="000000" w:themeColor="text1"/>
          <w:sz w:val="32"/>
          <w:szCs w:val="32"/>
          <w14:textFill>
            <w14:solidFill>
              <w14:schemeClr w14:val="tx1"/>
            </w14:solidFill>
          </w14:textFill>
        </w:rPr>
      </w:pPr>
    </w:p>
    <w:p w14:paraId="6B5F022E">
      <w:pPr>
        <w:pStyle w:val="39"/>
        <w:keepNext w:val="0"/>
        <w:keepLines w:val="0"/>
        <w:numPr>
          <w:ilvl w:val="0"/>
          <w:numId w:val="38"/>
        </w:numPr>
        <w:tabs>
          <w:tab w:val="clear" w:pos="0"/>
        </w:tabs>
        <w:adjustRightInd w:val="0"/>
        <w:snapToGrid w:val="0"/>
        <w:spacing w:before="0" w:beforeAutospacing="0" w:afterLines="0" w:line="240" w:lineRule="auto"/>
        <w:rPr>
          <w:color w:val="000000" w:themeColor="text1"/>
          <w14:textFill>
            <w14:solidFill>
              <w14:schemeClr w14:val="tx1"/>
            </w14:solidFill>
          </w14:textFill>
        </w:rPr>
      </w:pPr>
      <w:bookmarkStart w:id="51" w:name="_Toc167869204"/>
      <w:bookmarkStart w:id="52" w:name="_Toc130633974"/>
      <w:bookmarkStart w:id="53" w:name="_Toc4242"/>
      <w:r>
        <w:rPr>
          <w:color w:val="000000" w:themeColor="text1"/>
          <w14:textFill>
            <w14:solidFill>
              <w14:schemeClr w14:val="tx1"/>
            </w14:solidFill>
          </w14:textFill>
        </w:rPr>
        <w:t>船舶布置</w:t>
      </w:r>
      <w:bookmarkEnd w:id="51"/>
      <w:bookmarkEnd w:id="52"/>
      <w:bookmarkEnd w:id="53"/>
    </w:p>
    <w:p w14:paraId="419E1AD7">
      <w:pPr>
        <w:pStyle w:val="40"/>
        <w:keepNext w:val="0"/>
        <w:keepLines w:val="0"/>
        <w:numPr>
          <w:ilvl w:val="1"/>
          <w:numId w:val="39"/>
        </w:numPr>
        <w:adjustRightInd w:val="0"/>
        <w:snapToGrid w:val="0"/>
        <w:spacing w:before="312" w:after="312"/>
        <w:rPr>
          <w:rFonts w:ascii="Times New Roman" w:hAnsi="Times New Roman"/>
          <w:color w:val="000000" w:themeColor="text1"/>
          <w14:textFill>
            <w14:solidFill>
              <w14:schemeClr w14:val="tx1"/>
            </w14:solidFill>
          </w14:textFill>
        </w:rPr>
      </w:pPr>
      <w:bookmarkStart w:id="54" w:name="_Toc167869205"/>
      <w:r>
        <w:rPr>
          <w:rFonts w:ascii="Times New Roman"/>
          <w:color w:val="000000" w:themeColor="text1"/>
          <w14:textFill>
            <w14:solidFill>
              <w14:schemeClr w14:val="tx1"/>
            </w14:solidFill>
          </w14:textFill>
        </w:rPr>
        <w:t>一般规定</w:t>
      </w:r>
      <w:bookmarkEnd w:id="54"/>
    </w:p>
    <w:p w14:paraId="04C94F92">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一般要求</w:t>
      </w:r>
    </w:p>
    <w:p w14:paraId="50DD3B0B">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蓄电池应安装在专用的处所内，该处所可以是下列形式：</w:t>
      </w:r>
    </w:p>
    <w:p w14:paraId="256A5821">
      <w:pPr>
        <w:pStyle w:val="53"/>
        <w:spacing w:line="240" w:lineRule="auto"/>
        <w:ind w:left="42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（1）蓄电池舱；</w:t>
      </w:r>
    </w:p>
    <w:p w14:paraId="2C8CD661">
      <w:pPr>
        <w:pStyle w:val="53"/>
        <w:spacing w:line="240" w:lineRule="auto"/>
        <w:ind w:left="42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（2）开敞甲板上的蓄电池箱（柜）；或</w:t>
      </w:r>
    </w:p>
    <w:p w14:paraId="0D0D279C">
      <w:pPr>
        <w:pStyle w:val="53"/>
        <w:spacing w:line="240" w:lineRule="auto"/>
        <w:ind w:left="42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（3）箱式电源内电池处所。</w:t>
      </w:r>
    </w:p>
    <w:p w14:paraId="47417D86">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蓄电池的布置位置应位于防撞舱壁以后的区域。</w:t>
      </w:r>
    </w:p>
    <w:p w14:paraId="34C987B9">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蓄电池的布置应便于更换、检查、测试和清洁。</w:t>
      </w:r>
      <w:r>
        <w:rPr>
          <w:color w:val="000000" w:themeColor="text1"/>
          <w14:textFill>
            <w14:solidFill>
              <w14:schemeClr w14:val="tx1"/>
            </w14:solidFill>
          </w14:textFill>
        </w:rPr>
        <w:t>船长小于20m的船舶，任意蓄电池最小快速维护可拆卸单元重量应小于等于130kg。</w:t>
      </w:r>
    </w:p>
    <w:p w14:paraId="3C7F6921">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蓄电池不应安装在受过热、过冷、溅水、蒸汽、其他损害其性能或加速其性能恶化影响的处所内。</w:t>
      </w:r>
    </w:p>
    <w:p w14:paraId="48A0B87D">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蓄电池布置的相关区域，应张贴安全警示标志和禁止非工作人员进入标志，处所外面应有明显的“严禁烟火”标志。</w:t>
      </w:r>
    </w:p>
    <w:p w14:paraId="6B70A41C">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应考虑蓄电池的重量和分布对船舶结构和稳性的影响。</w:t>
      </w:r>
    </w:p>
    <w:p w14:paraId="48B77925">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除本章明确规定外，船舶布置尚应满足本局按规定程序认可和公布的中国船级社《船舶应用电池动力规范（</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）》及其修改通报第</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章的相关要求。</w:t>
      </w:r>
    </w:p>
    <w:p w14:paraId="23B7E280">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蓄电池包</w:t>
      </w:r>
    </w:p>
    <w:p w14:paraId="61129A90">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蓄电池包防护等级</w:t>
      </w:r>
      <w:r>
        <w:rPr>
          <w:rFonts w:hint="eastAsia"/>
          <w:color w:val="000000" w:themeColor="text1"/>
          <w14:textFill>
            <w14:solidFill>
              <w14:schemeClr w14:val="tx1"/>
            </w14:solidFill>
          </w14:textFill>
        </w:rPr>
        <w:t>应</w:t>
      </w:r>
      <w:r>
        <w:rPr>
          <w:color w:val="000000" w:themeColor="text1"/>
          <w14:textFill>
            <w14:solidFill>
              <w14:schemeClr w14:val="tx1"/>
            </w14:solidFill>
          </w14:textFill>
        </w:rPr>
        <w:t>至少为IP22</w:t>
      </w:r>
      <w:r>
        <w:rPr>
          <w:rFonts w:hint="eastAsia"/>
          <w:color w:val="000000" w:themeColor="text1"/>
          <w14:textFill>
            <w14:solidFill>
              <w14:schemeClr w14:val="tx1"/>
            </w14:solidFill>
          </w14:textFill>
        </w:rPr>
        <w:t>。但对于船长大于</w:t>
      </w:r>
      <w:r>
        <w:rPr>
          <w:color w:val="000000" w:themeColor="text1"/>
          <w14:textFill>
            <w14:solidFill>
              <w14:schemeClr w14:val="tx1"/>
            </w14:solidFill>
          </w14:textFill>
        </w:rPr>
        <w:t>50m</w:t>
      </w:r>
      <w:r>
        <w:rPr>
          <w:rFonts w:hint="eastAsia"/>
          <w:color w:val="000000" w:themeColor="text1"/>
          <w14:textFill>
            <w14:solidFill>
              <w14:schemeClr w14:val="tx1"/>
            </w14:solidFill>
          </w14:textFill>
        </w:rPr>
        <w:t>或载客人数大于</w:t>
      </w:r>
      <w:r>
        <w:rPr>
          <w:color w:val="000000" w:themeColor="text1"/>
          <w14:textFill>
            <w14:solidFill>
              <w14:schemeClr w14:val="tx1"/>
            </w14:solidFill>
          </w14:textFill>
        </w:rPr>
        <w:t>150</w:t>
      </w:r>
      <w:r>
        <w:rPr>
          <w:rFonts w:hint="eastAsia"/>
          <w:color w:val="000000" w:themeColor="text1"/>
          <w14:textFill>
            <w14:solidFill>
              <w14:schemeClr w14:val="tx1"/>
            </w14:solidFill>
          </w14:textFill>
        </w:rPr>
        <w:t>人的客船、载运（含散装和包装）危险货物的船舶、采用</w:t>
      </w:r>
      <w:r>
        <w:rPr>
          <w:color w:val="000000" w:themeColor="text1"/>
          <w14:textFill>
            <w14:solidFill>
              <w14:schemeClr w14:val="tx1"/>
            </w14:solidFill>
          </w14:textFill>
        </w:rPr>
        <w:t>箱式电源</w:t>
      </w:r>
      <w:r>
        <w:rPr>
          <w:rFonts w:hint="eastAsia"/>
          <w:color w:val="000000" w:themeColor="text1"/>
          <w14:textFill>
            <w14:solidFill>
              <w14:schemeClr w14:val="tx1"/>
            </w14:solidFill>
          </w14:textFill>
        </w:rPr>
        <w:t>的船舶以及</w:t>
      </w:r>
      <w:r>
        <w:rPr>
          <w:color w:val="000000" w:themeColor="text1"/>
          <w14:textFill>
            <w14:solidFill>
              <w14:schemeClr w14:val="tx1"/>
            </w14:solidFill>
          </w14:textFill>
        </w:rPr>
        <w:t>纤维增强塑料船</w:t>
      </w:r>
      <w:r>
        <w:rPr>
          <w:rFonts w:hint="eastAsia"/>
          <w:color w:val="000000" w:themeColor="text1"/>
          <w14:textFill>
            <w14:solidFill>
              <w14:schemeClr w14:val="tx1"/>
            </w14:solidFill>
          </w14:textFill>
        </w:rPr>
        <w:t>，蓄电池包的防护等级应不低于</w:t>
      </w:r>
      <w:r>
        <w:rPr>
          <w:color w:val="000000" w:themeColor="text1"/>
          <w14:textFill>
            <w14:solidFill>
              <w14:schemeClr w14:val="tx1"/>
            </w14:solidFill>
          </w14:textFill>
        </w:rPr>
        <w:t>IP67</w:t>
      </w:r>
      <w:r>
        <w:rPr>
          <w:rFonts w:hint="eastAsia"/>
          <w:color w:val="000000" w:themeColor="text1"/>
          <w14:textFill>
            <w14:solidFill>
              <w14:schemeClr w14:val="tx1"/>
            </w14:solidFill>
          </w14:textFill>
        </w:rPr>
        <w:t>。</w:t>
      </w:r>
    </w:p>
    <w:p w14:paraId="6659A230">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当蓄电池包采用托架安装时，蓄电池包应牢固固定在托架上。托架应采用钢质材料制造，具有足够的强度，并有效固定在船体上。对高速航行的船舶，应考虑托架对船体结构的影响。</w:t>
      </w:r>
    </w:p>
    <w:p w14:paraId="7BD5E96B">
      <w:pPr>
        <w:pStyle w:val="40"/>
        <w:keepNext w:val="0"/>
        <w:keepLines w:val="0"/>
        <w:numPr>
          <w:ilvl w:val="1"/>
          <w:numId w:val="39"/>
        </w:numPr>
        <w:adjustRightInd w:val="0"/>
        <w:snapToGrid w:val="0"/>
        <w:spacing w:before="312" w:after="312"/>
        <w:rPr>
          <w:rFonts w:ascii="Times New Roman" w:hAnsi="Times New Roman"/>
          <w:color w:val="000000" w:themeColor="text1"/>
          <w14:textFill>
            <w14:solidFill>
              <w14:schemeClr w14:val="tx1"/>
            </w14:solidFill>
          </w14:textFill>
        </w:rPr>
      </w:pPr>
      <w:bookmarkStart w:id="55" w:name="_Toc167869206"/>
      <w:r>
        <w:rPr>
          <w:rFonts w:ascii="Times New Roman"/>
          <w:color w:val="000000" w:themeColor="text1"/>
          <w14:textFill>
            <w14:solidFill>
              <w14:schemeClr w14:val="tx1"/>
            </w14:solidFill>
          </w14:textFill>
        </w:rPr>
        <w:t>蓄电池舱的布置</w:t>
      </w:r>
      <w:bookmarkEnd w:id="55"/>
    </w:p>
    <w:p w14:paraId="2596F0E8">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分舱与布置</w:t>
      </w:r>
    </w:p>
    <w:p w14:paraId="06BB3755">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对于船长大于15m的船舶，当蓄电池在舱内布置时，应至少分设于两个独立的蓄电池舱内。每个蓄电池舱内蓄电池总存储电量应小于等于2000kWh。</w:t>
      </w:r>
    </w:p>
    <w:p w14:paraId="10666E3A">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蓄电池舱与起居处所不应相邻布置，若确需相邻布置时，二者的共用限界面应尽可能减至最小，并采用满足本规则第8章</w:t>
      </w:r>
      <w:r>
        <w:rPr>
          <w:color w:val="000000" w:themeColor="text1"/>
          <w14:textFill>
            <w14:solidFill>
              <w14:schemeClr w14:val="tx1"/>
            </w14:solidFill>
          </w14:textFill>
        </w:rPr>
        <w:t>8.2.</w:t>
      </w:r>
      <w:r>
        <w:rPr>
          <w:rFonts w:hint="eastAsia"/>
          <w:color w:val="000000" w:themeColor="text1"/>
          <w14:textFill>
            <w14:solidFill>
              <w14:schemeClr w14:val="tx1"/>
            </w14:solidFill>
          </w14:textFill>
        </w:rPr>
        <w:t>2.1要求的分隔结构。</w:t>
      </w:r>
    </w:p>
    <w:p w14:paraId="6721C486">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蓄电池舱的门不应开向起居处所。</w:t>
      </w:r>
    </w:p>
    <w:p w14:paraId="00B41A6A">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蓄电池舱内部布置</w:t>
      </w:r>
    </w:p>
    <w:p w14:paraId="0BC9EF46">
      <w:pPr>
        <w:pStyle w:val="53"/>
        <w:numPr>
          <w:ilvl w:val="3"/>
          <w:numId w:val="39"/>
        </w:numPr>
        <w:spacing w:line="240" w:lineRule="auto"/>
        <w:ind w:left="0" w:firstLine="420" w:firstLineChars="200"/>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当蓄电池舱内的蓄电池包借助蓄电池舱的温度调节装置进行温度调节时，蓄电池包与舱壁及上方甲板之间应留有足够的空间以利于蓄电池通风散热。</w:t>
      </w:r>
      <w:r>
        <w:rPr>
          <w:rFonts w:hAnsiTheme="minorEastAsia" w:eastAsiaTheme="minorEastAsia"/>
          <w:color w:val="000000" w:themeColor="text1"/>
          <w14:textFill>
            <w14:solidFill>
              <w14:schemeClr w14:val="tx1"/>
            </w14:solidFill>
          </w14:textFill>
        </w:rPr>
        <w:t>对于船长大于等于</w:t>
      </w:r>
      <w:r>
        <w:rPr>
          <w:rFonts w:eastAsiaTheme="minorEastAsia"/>
          <w:color w:val="000000" w:themeColor="text1"/>
          <w14:textFill>
            <w14:solidFill>
              <w14:schemeClr w14:val="tx1"/>
            </w14:solidFill>
          </w14:textFill>
        </w:rPr>
        <w:t>20m</w:t>
      </w:r>
      <w:r>
        <w:rPr>
          <w:rFonts w:hAnsiTheme="minorEastAsia" w:eastAsiaTheme="minorEastAsia"/>
          <w:color w:val="000000" w:themeColor="text1"/>
          <w14:textFill>
            <w14:solidFill>
              <w14:schemeClr w14:val="tx1"/>
            </w14:solidFill>
          </w14:textFill>
        </w:rPr>
        <w:t>的船舶，距舱壁的净距离应至少为</w:t>
      </w:r>
      <w:r>
        <w:rPr>
          <w:rFonts w:eastAsiaTheme="minorEastAsia"/>
          <w:color w:val="000000" w:themeColor="text1"/>
          <w14:textFill>
            <w14:solidFill>
              <w14:schemeClr w14:val="tx1"/>
            </w14:solidFill>
          </w14:textFill>
        </w:rPr>
        <w:t>150mm</w:t>
      </w:r>
      <w:r>
        <w:rPr>
          <w:rFonts w:hAnsiTheme="minorEastAsia" w:eastAsiaTheme="minorEastAsia"/>
          <w:color w:val="000000" w:themeColor="text1"/>
          <w14:textFill>
            <w14:solidFill>
              <w14:schemeClr w14:val="tx1"/>
            </w14:solidFill>
          </w14:textFill>
        </w:rPr>
        <w:t>，且距舱壁加强结构的净距离应至少为</w:t>
      </w:r>
      <w:r>
        <w:rPr>
          <w:rFonts w:eastAsiaTheme="minorEastAsia"/>
          <w:color w:val="000000" w:themeColor="text1"/>
          <w14:textFill>
            <w14:solidFill>
              <w14:schemeClr w14:val="tx1"/>
            </w14:solidFill>
          </w14:textFill>
        </w:rPr>
        <w:t>100mm</w:t>
      </w:r>
      <w:r>
        <w:rPr>
          <w:rFonts w:hAnsiTheme="minorEastAsia" w:eastAsiaTheme="minorEastAsia"/>
          <w:color w:val="000000" w:themeColor="text1"/>
          <w14:textFill>
            <w14:solidFill>
              <w14:schemeClr w14:val="tx1"/>
            </w14:solidFill>
          </w14:textFill>
        </w:rPr>
        <w:t>；距上方甲板的净距离应至少为</w:t>
      </w:r>
      <w:r>
        <w:rPr>
          <w:rFonts w:eastAsiaTheme="minorEastAsia"/>
          <w:color w:val="000000" w:themeColor="text1"/>
          <w14:textFill>
            <w14:solidFill>
              <w14:schemeClr w14:val="tx1"/>
            </w14:solidFill>
          </w14:textFill>
        </w:rPr>
        <w:t>500mm</w:t>
      </w:r>
      <w:r>
        <w:rPr>
          <w:rFonts w:hAnsiTheme="minorEastAsia" w:eastAsiaTheme="minorEastAsia"/>
          <w:color w:val="000000" w:themeColor="text1"/>
          <w14:textFill>
            <w14:solidFill>
              <w14:schemeClr w14:val="tx1"/>
            </w14:solidFill>
          </w14:textFill>
        </w:rPr>
        <w:t>，且距上方甲板加强结构净距离应至少为</w:t>
      </w:r>
      <w:r>
        <w:rPr>
          <w:rFonts w:eastAsiaTheme="minorEastAsia"/>
          <w:color w:val="000000" w:themeColor="text1"/>
          <w14:textFill>
            <w14:solidFill>
              <w14:schemeClr w14:val="tx1"/>
            </w14:solidFill>
          </w14:textFill>
        </w:rPr>
        <w:t>150mm</w:t>
      </w:r>
      <w:r>
        <w:rPr>
          <w:rFonts w:hAnsiTheme="minorEastAsia" w:eastAsiaTheme="minorEastAsia"/>
          <w:color w:val="000000" w:themeColor="text1"/>
          <w14:textFill>
            <w14:solidFill>
              <w14:schemeClr w14:val="tx1"/>
            </w14:solidFill>
          </w14:textFill>
        </w:rPr>
        <w:t>。但对于船长小于</w:t>
      </w:r>
      <w:r>
        <w:rPr>
          <w:rFonts w:eastAsiaTheme="minorEastAsia"/>
          <w:color w:val="000000" w:themeColor="text1"/>
          <w14:textFill>
            <w14:solidFill>
              <w14:schemeClr w14:val="tx1"/>
            </w14:solidFill>
          </w14:textFill>
        </w:rPr>
        <w:t>20m</w:t>
      </w:r>
      <w:r>
        <w:rPr>
          <w:rFonts w:hAnsiTheme="minorEastAsia" w:eastAsiaTheme="minorEastAsia"/>
          <w:color w:val="000000" w:themeColor="text1"/>
          <w14:textFill>
            <w14:solidFill>
              <w14:schemeClr w14:val="tx1"/>
            </w14:solidFill>
          </w14:textFill>
        </w:rPr>
        <w:t>的船舶，距舱壁和上方甲板的净距离可至少为</w:t>
      </w:r>
      <w:r>
        <w:rPr>
          <w:rFonts w:eastAsiaTheme="minorEastAsia"/>
          <w:color w:val="000000" w:themeColor="text1"/>
          <w14:textFill>
            <w14:solidFill>
              <w14:schemeClr w14:val="tx1"/>
            </w14:solidFill>
          </w14:textFill>
        </w:rPr>
        <w:t>150mm</w:t>
      </w:r>
      <w:r>
        <w:rPr>
          <w:rFonts w:hAnsiTheme="minorEastAsia" w:eastAsiaTheme="minorEastAsia"/>
          <w:color w:val="000000" w:themeColor="text1"/>
          <w14:textFill>
            <w14:solidFill>
              <w14:schemeClr w14:val="tx1"/>
            </w14:solidFill>
          </w14:textFill>
        </w:rPr>
        <w:t>，且距舱壁和上方甲板加强结构的净距离可至少为</w:t>
      </w:r>
      <w:r>
        <w:rPr>
          <w:rFonts w:eastAsiaTheme="minorEastAsia"/>
          <w:color w:val="000000" w:themeColor="text1"/>
          <w14:textFill>
            <w14:solidFill>
              <w14:schemeClr w14:val="tx1"/>
            </w14:solidFill>
          </w14:textFill>
        </w:rPr>
        <w:t>100mm</w:t>
      </w:r>
      <w:r>
        <w:rPr>
          <w:rFonts w:hAnsiTheme="minorEastAsia" w:eastAsiaTheme="minorEastAsia"/>
          <w:color w:val="000000" w:themeColor="text1"/>
          <w14:textFill>
            <w14:solidFill>
              <w14:schemeClr w14:val="tx1"/>
            </w14:solidFill>
          </w14:textFill>
        </w:rPr>
        <w:t>。</w:t>
      </w:r>
    </w:p>
    <w:p w14:paraId="0A7F3892">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舱内的蓄电池包应牢固固定，并尽可能远离船体外板，避免碰撞的影响。蓄电池包至船体外板及结构的最小距离应至少为500mm，至双体船片体内侧板及结构的最小距离应至少为300mm。但对于船长小于20m的船舶，蓄电池包至船体外板及结构的最小距离可至少为300mm，至双体船片体内侧板及结构的最小距离可至少为150mm。</w:t>
      </w:r>
    </w:p>
    <w:p w14:paraId="41F123C0">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蓄电池舱内电池系统相关设备的布置应考虑必要的安装、调试、检修、更换等维护空间及通道。</w:t>
      </w:r>
    </w:p>
    <w:p w14:paraId="38C9761D">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蓄电池舱内不应安装与蓄电池无关的热源设备及管路（蒸气、液体等）。当蒸汽、液体等压力管路必须通过时，应禁止在蓄电池舱内设置其法兰接头。</w:t>
      </w:r>
    </w:p>
    <w:p w14:paraId="466527CC">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蓄电池舱内，应避免安装与电池系统无关的电气设备。若必须安装时，应尽可能远离蓄电池，且应将电气设备的发热量计入蓄电池舱通风量的计算中。</w:t>
      </w:r>
    </w:p>
    <w:p w14:paraId="355808F9">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舱内，在蓄电池热失控状态下需维持工作的电气设备应为合格防爆型，如火灾探测器、固定式灭火系统施放预报警器、可燃气体探测器及报警器、应急排风机电机系统等，具体防爆要求（防爆类型，防爆类别，温度组别）应根据不同类型电池热失控产生气体的成分确定。在蓄电池热失控状态下无需工作的非防爆电气设备应能切断电源。</w:t>
      </w:r>
    </w:p>
    <w:p w14:paraId="08FA5C0D">
      <w:pPr>
        <w:pStyle w:val="40"/>
        <w:keepNext w:val="0"/>
        <w:keepLines w:val="0"/>
        <w:numPr>
          <w:ilvl w:val="1"/>
          <w:numId w:val="39"/>
        </w:numPr>
        <w:adjustRightInd w:val="0"/>
        <w:snapToGrid w:val="0"/>
        <w:spacing w:before="312" w:after="312"/>
        <w:rPr>
          <w:rFonts w:ascii="Times New Roman" w:hAnsi="Times New Roman"/>
          <w:color w:val="000000" w:themeColor="text1"/>
          <w14:textFill>
            <w14:solidFill>
              <w14:schemeClr w14:val="tx1"/>
            </w14:solidFill>
          </w14:textFill>
        </w:rPr>
      </w:pPr>
      <w:bookmarkStart w:id="56" w:name="_Toc167869207"/>
      <w:r>
        <w:rPr>
          <w:rFonts w:ascii="Times New Roman"/>
          <w:color w:val="000000" w:themeColor="text1"/>
          <w14:textFill>
            <w14:solidFill>
              <w14:schemeClr w14:val="tx1"/>
            </w14:solidFill>
          </w14:textFill>
        </w:rPr>
        <w:t>开敞甲板上蓄电池箱（柜）的布置</w:t>
      </w:r>
      <w:bookmarkEnd w:id="56"/>
    </w:p>
    <w:p w14:paraId="0F017DD8">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一般要求</w:t>
      </w:r>
    </w:p>
    <w:p w14:paraId="5CB7B0AE">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当蓄电池布置在开敞甲板上时，应存放在蓄电池箱（柜）内。</w:t>
      </w:r>
      <w:r>
        <w:rPr>
          <w:color w:val="000000" w:themeColor="text1"/>
          <w14:textFill>
            <w14:solidFill>
              <w14:schemeClr w14:val="tx1"/>
            </w14:solidFill>
          </w14:textFill>
        </w:rPr>
        <w:t>蓄电池箱（柜）应牢固固定，并尽可能远离船舶外舷侧，避免碰撞的影响。</w:t>
      </w:r>
    </w:p>
    <w:p w14:paraId="3F04E023">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蓄电池箱（柜）的</w:t>
      </w:r>
      <w:r>
        <w:rPr>
          <w:color w:val="000000" w:themeColor="text1"/>
          <w14:textFill>
            <w14:solidFill>
              <w14:schemeClr w14:val="tx1"/>
            </w14:solidFill>
          </w14:textFill>
        </w:rPr>
        <w:t>防护等级应不低于IP</w:t>
      </w:r>
      <w:r>
        <w:rPr>
          <w:rFonts w:hint="eastAsia"/>
          <w:color w:val="000000" w:themeColor="text1"/>
          <w14:textFill>
            <w14:solidFill>
              <w14:schemeClr w14:val="tx1"/>
            </w14:solidFill>
          </w14:textFill>
        </w:rPr>
        <w:t>56，数量应不超过2个。</w:t>
      </w:r>
    </w:p>
    <w:p w14:paraId="59F5ADC9">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蓄电池箱（柜）应具有足够的强度，其厚度应不小于1mm</w:t>
      </w:r>
      <w:r>
        <w:rPr>
          <w:color w:val="000000" w:themeColor="text1"/>
          <w14:textFill>
            <w14:solidFill>
              <w14:schemeClr w14:val="tx1"/>
            </w14:solidFill>
          </w14:textFill>
        </w:rPr>
        <w:t>。箱柜内蓄电池应固定可靠，防止其在箱柜内移动</w:t>
      </w:r>
      <w:r>
        <w:rPr>
          <w:rFonts w:hint="eastAsia"/>
          <w:color w:val="000000" w:themeColor="text1"/>
          <w14:textFill>
            <w14:solidFill>
              <w14:schemeClr w14:val="tx1"/>
            </w14:solidFill>
          </w14:textFill>
        </w:rPr>
        <w:t>。</w:t>
      </w:r>
    </w:p>
    <w:p w14:paraId="51910B3E">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每一蓄电池箱（柜）的水平投影面积应不超过1m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，但当蓄电池箱（柜）垂直高度小于等于</w:t>
      </w:r>
      <w:r>
        <w:rPr>
          <w:color w:val="000000" w:themeColor="text1"/>
          <w14:textFill>
            <w14:solidFill>
              <w14:schemeClr w14:val="tx1"/>
            </w14:solidFill>
          </w14:textFill>
        </w:rPr>
        <w:t>1m</w:t>
      </w:r>
      <w:r>
        <w:rPr>
          <w:rFonts w:hint="eastAsia"/>
          <w:color w:val="000000" w:themeColor="text1"/>
          <w14:textFill>
            <w14:solidFill>
              <w14:schemeClr w14:val="tx1"/>
            </w14:solidFill>
          </w14:textFill>
        </w:rPr>
        <w:t>时，其水平投影面积可不超过</w:t>
      </w:r>
      <w:r>
        <w:rPr>
          <w:color w:val="000000" w:themeColor="text1"/>
          <w14:textFill>
            <w14:solidFill>
              <w14:schemeClr w14:val="tx1"/>
            </w14:solidFill>
          </w14:textFill>
        </w:rPr>
        <w:t>1.5m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31D5528C">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应考虑蓄电池箱（柜）必要的安装、调试、检修、更换等维护空间。</w:t>
      </w:r>
    </w:p>
    <w:p w14:paraId="5A2FD26B">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蓄电池箱（柜）的侧壁与起居处所舱壁之间至少留有900mm的间距（蓄电池箱（柜）或起居处所舱壁满足“A-60”防火分隔要求除外），并与起居处所门、窗、通风口等开口或出口的距离至少为1.5m。</w:t>
      </w:r>
    </w:p>
    <w:p w14:paraId="3B06C678">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蓄电池箱（柜）与舷侧、船艏、船艉的间距，对于船长大于等于</w:t>
      </w:r>
      <w:r>
        <w:rPr>
          <w:color w:val="000000" w:themeColor="text1"/>
          <w14:textFill>
            <w14:solidFill>
              <w14:schemeClr w14:val="tx1"/>
            </w14:solidFill>
          </w14:textFill>
        </w:rPr>
        <w:t>20m</w:t>
      </w:r>
      <w:r>
        <w:rPr>
          <w:rFonts w:hint="eastAsia"/>
          <w:color w:val="000000" w:themeColor="text1"/>
          <w14:textFill>
            <w14:solidFill>
              <w14:schemeClr w14:val="tx1"/>
            </w14:solidFill>
          </w14:textFill>
        </w:rPr>
        <w:t>的船舶应至少为</w:t>
      </w:r>
      <w:r>
        <w:rPr>
          <w:color w:val="000000" w:themeColor="text1"/>
          <w14:textFill>
            <w14:solidFill>
              <w14:schemeClr w14:val="tx1"/>
            </w14:solidFill>
          </w14:textFill>
        </w:rPr>
        <w:t>760mm</w:t>
      </w:r>
      <w:r>
        <w:rPr>
          <w:rFonts w:hint="eastAsia"/>
          <w:color w:val="000000" w:themeColor="text1"/>
          <w14:textFill>
            <w14:solidFill>
              <w14:schemeClr w14:val="tx1"/>
            </w14:solidFill>
          </w14:textFill>
        </w:rPr>
        <w:t>；对于船长小于</w:t>
      </w:r>
      <w:r>
        <w:rPr>
          <w:color w:val="000000" w:themeColor="text1"/>
          <w14:textFill>
            <w14:solidFill>
              <w14:schemeClr w14:val="tx1"/>
            </w14:solidFill>
          </w14:textFill>
        </w:rPr>
        <w:t>20m</w:t>
      </w:r>
      <w:r>
        <w:rPr>
          <w:rFonts w:hint="eastAsia"/>
          <w:color w:val="000000" w:themeColor="text1"/>
          <w14:textFill>
            <w14:solidFill>
              <w14:schemeClr w14:val="tx1"/>
            </w14:solidFill>
          </w14:textFill>
        </w:rPr>
        <w:t>的船舶应至少为</w:t>
      </w:r>
      <w:r>
        <w:rPr>
          <w:color w:val="000000" w:themeColor="text1"/>
          <w14:textFill>
            <w14:solidFill>
              <w14:schemeClr w14:val="tx1"/>
            </w14:solidFill>
          </w14:textFill>
        </w:rPr>
        <w:t>500mm</w:t>
      </w:r>
      <w:r>
        <w:rPr>
          <w:rFonts w:hint="eastAsia"/>
          <w:color w:val="000000" w:themeColor="text1"/>
          <w14:textFill>
            <w14:solidFill>
              <w14:schemeClr w14:val="tx1"/>
            </w14:solidFill>
          </w14:textFill>
        </w:rPr>
        <w:t>。</w:t>
      </w:r>
    </w:p>
    <w:p w14:paraId="3DE1B6D7">
      <w:pPr>
        <w:pStyle w:val="40"/>
        <w:keepNext w:val="0"/>
        <w:keepLines w:val="0"/>
        <w:numPr>
          <w:ilvl w:val="1"/>
          <w:numId w:val="39"/>
        </w:numPr>
        <w:adjustRightInd w:val="0"/>
        <w:snapToGrid w:val="0"/>
        <w:spacing w:before="312" w:after="312"/>
        <w:rPr>
          <w:rFonts w:ascii="Times New Roman" w:hAnsi="Times New Roman"/>
          <w:color w:val="000000" w:themeColor="text1"/>
          <w14:textFill>
            <w14:solidFill>
              <w14:schemeClr w14:val="tx1"/>
            </w14:solidFill>
          </w14:textFill>
        </w:rPr>
      </w:pPr>
      <w:bookmarkStart w:id="57" w:name="_Toc167869208"/>
      <w:r>
        <w:rPr>
          <w:rFonts w:ascii="Times New Roman"/>
          <w:color w:val="000000" w:themeColor="text1"/>
          <w14:textFill>
            <w14:solidFill>
              <w14:schemeClr w14:val="tx1"/>
            </w14:solidFill>
          </w14:textFill>
        </w:rPr>
        <w:t>箱式电源的布置</w:t>
      </w:r>
      <w:bookmarkEnd w:id="57"/>
    </w:p>
    <w:p w14:paraId="62F852FF">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一般要求</w:t>
      </w:r>
    </w:p>
    <w:p w14:paraId="46F2653F">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当蓄电池布置在箱式电源内时，应存放在专用的电池处所内。</w:t>
      </w:r>
    </w:p>
    <w:p w14:paraId="1C80E945">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箱式电源内</w:t>
      </w:r>
      <w:r>
        <w:rPr>
          <w:rFonts w:hint="eastAsia"/>
          <w:color w:val="000000" w:themeColor="text1"/>
          <w14:textFill>
            <w14:solidFill>
              <w14:schemeClr w14:val="tx1"/>
            </w14:solidFill>
          </w14:textFill>
        </w:rPr>
        <w:t>的所有蓄电池</w:t>
      </w:r>
      <w:r>
        <w:rPr>
          <w:color w:val="000000" w:themeColor="text1"/>
          <w14:textFill>
            <w14:solidFill>
              <w14:schemeClr w14:val="tx1"/>
            </w14:solidFill>
          </w14:textFill>
        </w:rPr>
        <w:t>应有效固定。</w:t>
      </w:r>
      <w:r>
        <w:rPr>
          <w:rFonts w:hint="eastAsia"/>
          <w:color w:val="000000" w:themeColor="text1"/>
          <w14:textFill>
            <w14:solidFill>
              <w14:schemeClr w14:val="tx1"/>
            </w14:solidFill>
          </w14:textFill>
        </w:rPr>
        <w:t>蓄电池包及托架的结构强度应能承受箱式电源各种工况下的冲击。</w:t>
      </w:r>
    </w:p>
    <w:p w14:paraId="64A6882E">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箱式电源船上布置</w:t>
      </w:r>
    </w:p>
    <w:p w14:paraId="5BBA24C4">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箱式电源不应放置在危险区域。</w:t>
      </w:r>
    </w:p>
    <w:p w14:paraId="37C93CC8">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箱式电源不应放置在货物区域。</w:t>
      </w:r>
    </w:p>
    <w:p w14:paraId="397BBE92">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箱式电源应尽可能远离船舶外舷侧，避免碰撞的影响。其至舷侧</w:t>
      </w:r>
      <w:r>
        <w:rPr>
          <w:rFonts w:hint="eastAsia"/>
          <w:color w:val="000000" w:themeColor="text1"/>
          <w14:textFill>
            <w14:solidFill>
              <w14:schemeClr w14:val="tx1"/>
            </w14:solidFill>
          </w14:textFill>
        </w:rPr>
        <w:t>和尾端</w:t>
      </w:r>
      <w:r>
        <w:rPr>
          <w:color w:val="000000" w:themeColor="text1"/>
          <w14:textFill>
            <w14:solidFill>
              <w14:schemeClr w14:val="tx1"/>
            </w14:solidFill>
          </w14:textFill>
        </w:rPr>
        <w:t>的水平距离应不小于</w:t>
      </w:r>
      <w:r>
        <w:rPr>
          <w:rFonts w:hint="eastAsia"/>
          <w:color w:val="000000" w:themeColor="text1"/>
          <w14:textFill>
            <w14:solidFill>
              <w14:schemeClr w14:val="tx1"/>
            </w14:solidFill>
          </w14:textFill>
        </w:rPr>
        <w:t>76</w:t>
      </w:r>
      <w:r>
        <w:rPr>
          <w:color w:val="000000" w:themeColor="text1"/>
          <w14:textFill>
            <w14:solidFill>
              <w14:schemeClr w14:val="tx1"/>
            </w14:solidFill>
          </w14:textFill>
        </w:rPr>
        <w:t>0mm。</w:t>
      </w:r>
    </w:p>
    <w:p w14:paraId="77C0E68B">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箱式电源的布置应考虑吊装过程中船上其他设施和货物集装箱（如有时）对箱式电源所造成的碰撞影响。</w:t>
      </w:r>
    </w:p>
    <w:p w14:paraId="504EBC5C">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箱式电源的布置应尽可能远离居住处所和人员活动区域。所在区域应有相应措施禁止非专业人员靠近箱式电源。同时，箱式电源箱体应有高压危险标志及</w:t>
      </w:r>
      <w:r>
        <w:rPr>
          <w:rFonts w:hint="eastAsia"/>
          <w:color w:val="000000" w:themeColor="text1"/>
          <w14:textFill>
            <w14:solidFill>
              <w14:schemeClr w14:val="tx1"/>
            </w14:solidFill>
          </w14:textFill>
        </w:rPr>
        <w:t>未经允许</w:t>
      </w:r>
      <w:r>
        <w:rPr>
          <w:color w:val="000000" w:themeColor="text1"/>
          <w14:textFill>
            <w14:solidFill>
              <w14:schemeClr w14:val="tx1"/>
            </w14:solidFill>
          </w14:textFill>
        </w:rPr>
        <w:t>禁止进入标志。</w:t>
      </w:r>
    </w:p>
    <w:p w14:paraId="657616F6">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箱式电源应尽可能远离应急电源</w:t>
      </w:r>
      <w:r>
        <w:rPr>
          <w:rFonts w:hint="eastAsia"/>
          <w:color w:val="000000" w:themeColor="text1"/>
          <w14:textFill>
            <w14:solidFill>
              <w14:schemeClr w14:val="tx1"/>
            </w14:solidFill>
          </w14:textFill>
        </w:rPr>
        <w:t>所在处所</w:t>
      </w:r>
      <w:r>
        <w:rPr>
          <w:color w:val="000000" w:themeColor="text1"/>
          <w14:textFill>
            <w14:solidFill>
              <w14:schemeClr w14:val="tx1"/>
            </w14:solidFill>
          </w14:textFill>
        </w:rPr>
        <w:t>。</w:t>
      </w:r>
    </w:p>
    <w:p w14:paraId="0ED4BCD6">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箱式电源所在区域应有通道便于人员进行箱式电源检查、维修和处理紧急情况。</w:t>
      </w:r>
    </w:p>
    <w:p w14:paraId="3F87CBA0">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箱式电源如放置在露天甲板，应有防雷措施以避免箱式电源失效及故障。</w:t>
      </w:r>
    </w:p>
    <w:p w14:paraId="63D25ADC">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当船上布置多个箱式电源时，应尽可能水平排列布置，如确需叠放时，叠放层数不应超过3层。</w:t>
      </w:r>
    </w:p>
    <w:p w14:paraId="3DCA0CB6">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箱式电源应有固定措施并满足船舶航行所可能经受恶劣天气的影响。</w:t>
      </w:r>
    </w:p>
    <w:p w14:paraId="4C6D710A">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箱式电源如与普通货物集装箱相邻，其与货物集装箱的距离应不小于600mm，如应急排气口朝向货物集装箱，还应考虑可燃气体的危险性。</w:t>
      </w:r>
    </w:p>
    <w:p w14:paraId="1DE7AD87">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箱式电源侧壁与起居处所舱壁之间至少留有900mm的间距（与箱式电源侧壁相邻的起居处所舱壁为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A-60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级分隔结构的除外），并与起居处所门、窗、通风口等开口或出口的距离至少为1.5m。</w:t>
      </w:r>
    </w:p>
    <w:p w14:paraId="7E2E7AE7">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箱式电源布置处的船舶结构强度应满足其载荷的要求。箱式电源安装处所应避免由于甲板积水对电池的影响。</w:t>
      </w:r>
    </w:p>
    <w:p w14:paraId="7EBEE4B7">
      <w:pPr>
        <w:pStyle w:val="39"/>
        <w:keepNext w:val="0"/>
        <w:keepLines w:val="0"/>
        <w:pageBreakBefore w:val="0"/>
        <w:numPr>
          <w:ilvl w:val="0"/>
          <w:numId w:val="39"/>
        </w:numPr>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1F302F43">
      <w:pPr>
        <w:pStyle w:val="39"/>
        <w:keepNext w:val="0"/>
        <w:keepLines w:val="0"/>
        <w:numPr>
          <w:ilvl w:val="0"/>
          <w:numId w:val="39"/>
        </w:numPr>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pPr>
      <w:bookmarkStart w:id="58" w:name="_Toc167869209"/>
      <w:r>
        <w:rPr>
          <w:rFonts w:hint="eastAsia" w:ascii="Times New Roman" w:hAnsi="Times New Roman" w:cs="Times New Roman"/>
          <w:color w:val="000000" w:themeColor="text1"/>
          <w14:textFill>
            <w14:solidFill>
              <w14:schemeClr w14:val="tx1"/>
            </w14:solidFill>
          </w14:textFill>
        </w:rPr>
        <w:t>电池</w:t>
      </w:r>
      <w:r>
        <w:rPr>
          <w:rFonts w:hint="eastAsia"/>
          <w:color w:val="000000" w:themeColor="text1"/>
          <w14:textFill>
            <w14:solidFill>
              <w14:schemeClr w14:val="tx1"/>
            </w14:solidFill>
          </w14:textFill>
        </w:rPr>
        <w:t>系统</w:t>
      </w:r>
      <w:bookmarkEnd w:id="58"/>
    </w:p>
    <w:p w14:paraId="248C040B">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59" w:name="_Toc167869210"/>
      <w:r>
        <w:rPr>
          <w:rFonts w:hint="eastAsia" w:ascii="Times New Roman" w:hAnsi="Times New Roman"/>
          <w:color w:val="000000" w:themeColor="text1"/>
          <w14:textFill>
            <w14:solidFill>
              <w14:schemeClr w14:val="tx1"/>
            </w14:solidFill>
          </w14:textFill>
        </w:rPr>
        <w:t>一般规定</w:t>
      </w:r>
      <w:bookmarkEnd w:id="59"/>
    </w:p>
    <w:p w14:paraId="23E4D4F0">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一般要求</w:t>
      </w:r>
    </w:p>
    <w:p w14:paraId="020F0C56">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除本规则明确规定外，</w:t>
      </w:r>
      <w:r>
        <w:rPr>
          <w:color w:val="000000" w:themeColor="text1"/>
          <w14:textFill>
            <w14:solidFill>
              <w14:schemeClr w14:val="tx1"/>
            </w14:solidFill>
          </w14:textFill>
        </w:rPr>
        <w:t>蓄电池及其系统相关设备的设计、制造和检验应满足</w:t>
      </w:r>
      <w:r>
        <w:rPr>
          <w:rFonts w:hint="eastAsia"/>
          <w:color w:val="000000" w:themeColor="text1"/>
          <w14:textFill>
            <w14:solidFill>
              <w14:schemeClr w14:val="tx1"/>
            </w14:solidFill>
          </w14:textFill>
        </w:rPr>
        <w:t>本局按规定程序认可和公布的中国船级社</w:t>
      </w:r>
      <w:r>
        <w:rPr>
          <w:color w:val="000000" w:themeColor="text1"/>
          <w14:textFill>
            <w14:solidFill>
              <w14:schemeClr w14:val="tx1"/>
            </w14:solidFill>
          </w14:textFill>
        </w:rPr>
        <w:t>相关规范、指南有关规定。</w:t>
      </w:r>
    </w:p>
    <w:p w14:paraId="2AB5D690">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电池系统应具有必要的电磁兼容性。</w:t>
      </w:r>
    </w:p>
    <w:p w14:paraId="252172CC">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蓄电池应配备电池管理系统（BMS）。</w:t>
      </w:r>
    </w:p>
    <w:p w14:paraId="7075D2DC">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蓄电池及连接电缆的布置应使得杂散磁场尽可能小。</w:t>
      </w:r>
    </w:p>
    <w:p w14:paraId="000130F5">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电池产品的辅助材料应为滞燃材料。</w:t>
      </w:r>
    </w:p>
    <w:p w14:paraId="6ED09CE2">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60" w:name="_Toc167869211"/>
      <w:r>
        <w:rPr>
          <w:rFonts w:hint="eastAsia" w:ascii="Times New Roman" w:hAnsi="Times New Roman"/>
          <w:color w:val="000000" w:themeColor="text1"/>
          <w14:textFill>
            <w14:solidFill>
              <w14:schemeClr w14:val="tx1"/>
            </w14:solidFill>
          </w14:textFill>
        </w:rPr>
        <w:t>蓄电池的配备</w:t>
      </w:r>
      <w:bookmarkEnd w:id="60"/>
    </w:p>
    <w:p w14:paraId="47196A6A">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主电源和推进电源的配备</w:t>
      </w:r>
    </w:p>
    <w:p w14:paraId="66FCE20E">
      <w:pPr>
        <w:pStyle w:val="53"/>
        <w:numPr>
          <w:ilvl w:val="3"/>
          <w:numId w:val="39"/>
        </w:numPr>
        <w:spacing w:line="240" w:lineRule="auto"/>
        <w:ind w:left="0" w:firstLine="420" w:firstLineChars="200"/>
        <w:rPr>
          <w:rFonts w:hint="eastAsia" w:ascii="宋体" w:hAnsi="宋体" w:cs="宋体"/>
          <w:color w:val="000000" w:themeColor="text1"/>
          <w:sz w:val="20"/>
          <w:szCs w:val="20"/>
          <w14:textFill>
            <w14:solidFill>
              <w14:schemeClr w14:val="tx1"/>
            </w14:solidFill>
          </w14:textFill>
        </w:rPr>
      </w:pPr>
      <w:r>
        <w:rPr>
          <w:color w:val="000000" w:themeColor="text1"/>
          <w14:textFill>
            <w14:solidFill>
              <w14:schemeClr w14:val="tx1"/>
            </w14:solidFill>
          </w14:textFill>
        </w:rPr>
        <w:t>为主电源和推进动力分别设置蓄电池的船舶，蓄电池需分别满足以下条件：</w:t>
      </w:r>
    </w:p>
    <w:p w14:paraId="7482E1F6">
      <w:pPr>
        <w:pStyle w:val="58"/>
        <w:numPr>
          <w:ilvl w:val="0"/>
          <w:numId w:val="40"/>
        </w:numPr>
        <w:spacing w:line="240" w:lineRule="auto"/>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主电源至少应设置两组独立蓄电池组，每组蓄电池组的电量应能在整个航程相适应的时间内，足以对保障船舶正常航行、船舶安全及冷藏货物所必需的设备供电。同时，最低舒适的居住条件也应得到保证，至少应包括适当的炊食、食品冷冻、机械通风、卫生和淡水设备的供电。每组蓄电池组的电量，至少能维持船舶安全所必须的用电设备4h的供电。</w:t>
      </w:r>
    </w:p>
    <w:p w14:paraId="1F6F54D5">
      <w:pPr>
        <w:pStyle w:val="58"/>
        <w:numPr>
          <w:ilvl w:val="0"/>
          <w:numId w:val="40"/>
        </w:numPr>
        <w:spacing w:line="240" w:lineRule="auto"/>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电力推进电源蓄电池组至少应设置两组独立蓄电池组，每组蓄电池组的设计电量应相近，且应使其总电量满足船舶航程所需的电力。当任意一组蓄电池组发生故障时，其余蓄电池组的电量能维持船舶到达最近港口。</w:t>
      </w:r>
    </w:p>
    <w:p w14:paraId="0CBB48FE">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如设置公共电站兼做主电源和电力推进电源，应符合下列规定：</w:t>
      </w:r>
    </w:p>
    <w:p w14:paraId="26C7C900">
      <w:pPr>
        <w:pStyle w:val="58"/>
        <w:numPr>
          <w:ilvl w:val="0"/>
          <w:numId w:val="41"/>
        </w:numPr>
        <w:spacing w:line="240" w:lineRule="auto"/>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蓄电池组的配备、功能和总电量应满足</w:t>
      </w:r>
      <w:r>
        <w:rPr>
          <w:rFonts w:hint="eastAsia" w:ascii="Times New Roman"/>
          <w:color w:val="000000" w:themeColor="text1"/>
          <w14:textFill>
            <w14:solidFill>
              <w14:schemeClr w14:val="tx1"/>
            </w14:solidFill>
          </w14:textFill>
        </w:rPr>
        <w:t>本节</w:t>
      </w:r>
      <w:r>
        <w:rPr>
          <w:rFonts w:ascii="Times New Roman"/>
          <w:color w:val="000000" w:themeColor="text1"/>
          <w14:textFill>
            <w14:solidFill>
              <w14:schemeClr w14:val="tx1"/>
            </w14:solidFill>
          </w14:textFill>
        </w:rPr>
        <w:t>4.2.1.1的规定；</w:t>
      </w:r>
    </w:p>
    <w:p w14:paraId="59ECECE2">
      <w:pPr>
        <w:pStyle w:val="58"/>
        <w:numPr>
          <w:ilvl w:val="0"/>
          <w:numId w:val="41"/>
        </w:numPr>
        <w:spacing w:line="240" w:lineRule="auto"/>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电站的控制系统应保证在推进和日用负载之间安全地分配电力，若有必要，可以卸掉非重要负载和/或降低推进功率；</w:t>
      </w:r>
    </w:p>
    <w:p w14:paraId="71DBBB18">
      <w:pPr>
        <w:pStyle w:val="58"/>
        <w:numPr>
          <w:ilvl w:val="0"/>
          <w:numId w:val="41"/>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主汇流排应至少分成两个独立的分段，在任一分段失效时，剩余分段的蓄电池组应能向船舶</w:t>
      </w:r>
      <w:r>
        <w:rPr>
          <w:rFonts w:ascii="Times New Roman"/>
          <w:color w:val="000000" w:themeColor="text1"/>
          <w14:textFill>
            <w14:solidFill>
              <w14:schemeClr w14:val="tx1"/>
            </w14:solidFill>
          </w14:textFill>
        </w:rPr>
        <w:t>正常航行、船舶安全</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冷藏货物</w:t>
      </w:r>
      <w:r>
        <w:rPr>
          <w:rFonts w:hint="eastAsia" w:ascii="Times New Roman"/>
          <w:color w:val="000000" w:themeColor="text1"/>
          <w14:textFill>
            <w14:solidFill>
              <w14:schemeClr w14:val="tx1"/>
            </w14:solidFill>
          </w14:textFill>
        </w:rPr>
        <w:t>以及保证</w:t>
      </w:r>
      <w:r>
        <w:rPr>
          <w:rFonts w:ascii="Times New Roman"/>
          <w:color w:val="000000" w:themeColor="text1"/>
          <w14:textFill>
            <w14:solidFill>
              <w14:schemeClr w14:val="tx1"/>
            </w14:solidFill>
          </w14:textFill>
        </w:rPr>
        <w:t>最低舒适的居住条件</w:t>
      </w:r>
      <w:r>
        <w:rPr>
          <w:rFonts w:hint="eastAsia" w:ascii="Times New Roman"/>
          <w:color w:val="000000" w:themeColor="text1"/>
          <w14:textFill>
            <w14:solidFill>
              <w14:schemeClr w14:val="tx1"/>
            </w14:solidFill>
          </w14:textFill>
        </w:rPr>
        <w:t>所</w:t>
      </w:r>
      <w:r>
        <w:rPr>
          <w:rFonts w:ascii="Times New Roman"/>
          <w:color w:val="000000" w:themeColor="text1"/>
          <w14:textFill>
            <w14:solidFill>
              <w14:schemeClr w14:val="tx1"/>
            </w14:solidFill>
          </w14:textFill>
        </w:rPr>
        <w:t>必需的设备供电。同时还应维持有效推进</w:t>
      </w:r>
      <w:r>
        <w:rPr>
          <w:rFonts w:hint="eastAsia" w:ascii="Times New Roman"/>
          <w:color w:val="000000" w:themeColor="text1"/>
          <w14:textFill>
            <w14:solidFill>
              <w14:schemeClr w14:val="tx1"/>
            </w14:solidFill>
          </w14:textFill>
        </w:rPr>
        <w:t>，确保船舶以</w:t>
      </w:r>
      <w:r>
        <w:rPr>
          <w:rFonts w:ascii="Times New Roman"/>
          <w:color w:val="000000" w:themeColor="text1"/>
          <w14:textFill>
            <w14:solidFill>
              <w14:schemeClr w14:val="tx1"/>
            </w14:solidFill>
          </w14:textFill>
        </w:rPr>
        <w:t>一定航速</w:t>
      </w:r>
      <w:r>
        <w:rPr>
          <w:rFonts w:hint="eastAsia" w:ascii="Times New Roman"/>
          <w:color w:val="000000" w:themeColor="text1"/>
          <w14:textFill>
            <w14:solidFill>
              <w14:schemeClr w14:val="tx1"/>
            </w14:solidFill>
          </w14:textFill>
        </w:rPr>
        <w:t>航行至</w:t>
      </w:r>
      <w:r>
        <w:rPr>
          <w:rFonts w:ascii="Times New Roman"/>
          <w:color w:val="000000" w:themeColor="text1"/>
          <w14:textFill>
            <w14:solidFill>
              <w14:schemeClr w14:val="tx1"/>
            </w14:solidFill>
          </w14:textFill>
        </w:rPr>
        <w:t>最近港口。</w:t>
      </w:r>
    </w:p>
    <w:p w14:paraId="4DED1157">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蓄电池总电量应考虑蓄电池在使用寿命内的容量衰减。</w:t>
      </w:r>
    </w:p>
    <w:p w14:paraId="3B2C942C">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蓄电池在规定的供电时间内，放电终止电压、放电终止电量（放电深度）应满足厂家提供的技术规格书的要求。</w:t>
      </w:r>
    </w:p>
    <w:p w14:paraId="3A58ED34">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应急电源的配备</w:t>
      </w:r>
    </w:p>
    <w:p w14:paraId="397A03F4">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船舶应设置应急电源。应急电源应采用蓄电池（包括铅酸蓄电池）。当主电源失效时，应急电源应能自动投入。</w:t>
      </w:r>
    </w:p>
    <w:p w14:paraId="1372FF44">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电源的安装、供电时间应满足本局对船舶航行水域适用的规则对应急电源的要求。对于船舶航行水域相应规则仅要求设临时应急电源的船舶，或既不要求设置应急电源又不要求设置临时应急电源的船舶，应急电源的安装、供电时间应满足本局《内河船舶法定检验技术规则（2019）》（对于河船和特定航线江海直达船舶）或《国内航行海船法定检验技术规则（2020）》（对于海船）中对临时应急电源的相应要求。但对本节</w:t>
      </w:r>
      <w:r>
        <w:rPr>
          <w:color w:val="000000" w:themeColor="text1"/>
          <w14:textFill>
            <w14:solidFill>
              <w14:schemeClr w14:val="tx1"/>
            </w14:solidFill>
          </w14:textFill>
        </w:rPr>
        <w:t>4.2.2.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（6）、（7）</w:t>
      </w:r>
      <w:r>
        <w:rPr>
          <w:rFonts w:hint="eastAsia"/>
          <w:color w:val="000000" w:themeColor="text1"/>
          <w14:textFill>
            <w14:solidFill>
              <w14:schemeClr w14:val="tx1"/>
            </w14:solidFill>
          </w14:textFill>
        </w:rPr>
        <w:t>的供电时间应不小于</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分钟。</w:t>
      </w:r>
    </w:p>
    <w:p w14:paraId="6D8A0887">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船长大于等于</w:t>
      </w:r>
      <w:r>
        <w:rPr>
          <w:color w:val="000000" w:themeColor="text1"/>
          <w14:textFill>
            <w14:solidFill>
              <w14:schemeClr w14:val="tx1"/>
            </w14:solidFill>
          </w14:textFill>
        </w:rPr>
        <w:t>20m</w:t>
      </w:r>
      <w:r>
        <w:rPr>
          <w:rFonts w:hint="eastAsia"/>
          <w:color w:val="000000" w:themeColor="text1"/>
          <w14:textFill>
            <w14:solidFill>
              <w14:schemeClr w14:val="tx1"/>
            </w14:solidFill>
          </w14:textFill>
        </w:rPr>
        <w:t>的船舶，应急电源的供电范围除满足本局对船舶航行水域适用的规则要求外，还应包括：</w:t>
      </w:r>
    </w:p>
    <w:p w14:paraId="095F9B11">
      <w:pPr>
        <w:pStyle w:val="58"/>
        <w:numPr>
          <w:ilvl w:val="0"/>
          <w:numId w:val="4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船舶管理系统（含能量管理系统（</w:t>
      </w:r>
      <w:r>
        <w:rPr>
          <w:rFonts w:ascii="Times New Roman"/>
          <w:color w:val="000000" w:themeColor="text1"/>
          <w14:textFill>
            <w14:solidFill>
              <w14:schemeClr w14:val="tx1"/>
            </w14:solidFill>
          </w14:textFill>
        </w:rPr>
        <w:t>EMS</w:t>
      </w:r>
      <w:r>
        <w:rPr>
          <w:rFonts w:hint="eastAsia" w:ascii="Times New Roman"/>
          <w:color w:val="000000" w:themeColor="text1"/>
          <w14:textFill>
            <w14:solidFill>
              <w14:schemeClr w14:val="tx1"/>
            </w14:solidFill>
          </w14:textFill>
        </w:rPr>
        <w:t>）/功率管理系统（PMS）/监测报警系统（AMS））；</w:t>
      </w:r>
    </w:p>
    <w:p w14:paraId="7F4AAFF0">
      <w:pPr>
        <w:pStyle w:val="58"/>
        <w:numPr>
          <w:ilvl w:val="0"/>
          <w:numId w:val="4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电池管理系统（BMS）；</w:t>
      </w:r>
    </w:p>
    <w:p w14:paraId="6008F8A1">
      <w:pPr>
        <w:pStyle w:val="58"/>
        <w:numPr>
          <w:ilvl w:val="0"/>
          <w:numId w:val="4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可燃气体探测报警系统；</w:t>
      </w:r>
    </w:p>
    <w:p w14:paraId="776602F1">
      <w:pPr>
        <w:pStyle w:val="58"/>
        <w:numPr>
          <w:ilvl w:val="0"/>
          <w:numId w:val="4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固定式探火和失火报警系统；</w:t>
      </w:r>
    </w:p>
    <w:p w14:paraId="1C16CBF4">
      <w:pPr>
        <w:pStyle w:val="58"/>
        <w:numPr>
          <w:ilvl w:val="0"/>
          <w:numId w:val="4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应急排气系统；</w:t>
      </w:r>
    </w:p>
    <w:p w14:paraId="5961D136">
      <w:pPr>
        <w:pStyle w:val="58"/>
        <w:numPr>
          <w:ilvl w:val="0"/>
          <w:numId w:val="4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舵机动力装置及其控制系统（适用于采用传统螺旋桨及舵装置，且通过三峡大坝或航行于急流航段的且转舵扭矩大于16kN·m的客船和载运危险货物的船舶）；</w:t>
      </w:r>
    </w:p>
    <w:p w14:paraId="399C2107">
      <w:pPr>
        <w:pStyle w:val="58"/>
        <w:numPr>
          <w:ilvl w:val="0"/>
          <w:numId w:val="42"/>
        </w:numPr>
        <w:spacing w:line="240" w:lineRule="auto"/>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其中</w:t>
      </w: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套主推进装置（至少应能维持该推进装置</w:t>
      </w:r>
      <w:r>
        <w:rPr>
          <w:rFonts w:ascii="Times New Roman"/>
          <w:color w:val="000000" w:themeColor="text1"/>
          <w14:textFill>
            <w14:solidFill>
              <w14:schemeClr w14:val="tx1"/>
            </w14:solidFill>
          </w14:textFill>
        </w:rPr>
        <w:t>50%</w:t>
      </w:r>
      <w:r>
        <w:rPr>
          <w:rFonts w:hint="eastAsia" w:ascii="Times New Roman"/>
          <w:color w:val="000000" w:themeColor="text1"/>
          <w14:textFill>
            <w14:solidFill>
              <w14:schemeClr w14:val="tx1"/>
            </w14:solidFill>
          </w14:textFill>
        </w:rPr>
        <w:t>的额定功率）及其回转机构的动力与控制系统（适用于采用全回转推进装置、轮缘推进装置、直翼舵桨推进装置、喷水推进装置，且通过三峡大坝或航行于急流航段的客船和载运危险货物的船舶）。</w:t>
      </w:r>
    </w:p>
    <w:p w14:paraId="5B5202FE">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船长小于20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的船舶，应急电源的供电范围除满足本局对船舶航行水域适用的规则要求外，还应包括本节</w:t>
      </w:r>
      <w:r>
        <w:rPr>
          <w:color w:val="000000" w:themeColor="text1"/>
          <w14:textFill>
            <w14:solidFill>
              <w14:schemeClr w14:val="tx1"/>
            </w14:solidFill>
          </w14:textFill>
        </w:rPr>
        <w:t>4.2.2.</w:t>
      </w:r>
      <w:r>
        <w:rPr>
          <w:rFonts w:hint="eastAsia"/>
          <w:color w:val="000000" w:themeColor="text1"/>
          <w14:textFill>
            <w14:solidFill>
              <w14:schemeClr w14:val="tx1"/>
            </w14:solidFill>
          </w14:textFill>
        </w:rPr>
        <w:t>3（1）~（5）。</w:t>
      </w:r>
    </w:p>
    <w:p w14:paraId="34A31B0D">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61" w:name="_Toc167869212"/>
      <w:r>
        <w:rPr>
          <w:rFonts w:hint="eastAsia" w:ascii="Times New Roman" w:hAnsi="Times New Roman"/>
          <w:color w:val="000000" w:themeColor="text1"/>
          <w14:textFill>
            <w14:solidFill>
              <w14:schemeClr w14:val="tx1"/>
            </w14:solidFill>
          </w14:textFill>
        </w:rPr>
        <w:t>电池系统的保护</w:t>
      </w:r>
      <w:bookmarkEnd w:id="61"/>
    </w:p>
    <w:p w14:paraId="2E06131F">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一般要求</w:t>
      </w:r>
    </w:p>
    <w:p w14:paraId="5D92ECA4">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电池系统相关设备的外壳应为不燃材料。</w:t>
      </w:r>
    </w:p>
    <w:p w14:paraId="6D255F44">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电池系统控制</w:t>
      </w:r>
      <w:r>
        <w:rPr>
          <w:rFonts w:hint="eastAsia"/>
          <w:color w:val="000000" w:themeColor="text1"/>
          <w14:textFill>
            <w14:solidFill>
              <w14:schemeClr w14:val="tx1"/>
            </w14:solidFill>
          </w14:textFill>
        </w:rPr>
        <w:t>应满足</w:t>
      </w:r>
      <w:bookmarkStart w:id="62" w:name="OLE_LINK6"/>
      <w:bookmarkStart w:id="63" w:name="OLE_LINK5"/>
      <w:r>
        <w:rPr>
          <w:rFonts w:hint="eastAsia"/>
          <w:color w:val="000000" w:themeColor="text1"/>
          <w14:textFill>
            <w14:solidFill>
              <w14:schemeClr w14:val="tx1"/>
            </w14:solidFill>
          </w14:textFill>
        </w:rPr>
        <w:t>本规则</w:t>
      </w:r>
      <w:bookmarkEnd w:id="62"/>
      <w:bookmarkEnd w:id="63"/>
      <w:r>
        <w:rPr>
          <w:rFonts w:hint="eastAsia"/>
          <w:color w:val="000000" w:themeColor="text1"/>
          <w14:textFill>
            <w14:solidFill>
              <w14:schemeClr w14:val="tx1"/>
            </w14:solidFill>
          </w14:textFill>
        </w:rPr>
        <w:t>第6章的相关要求</w:t>
      </w:r>
      <w:r>
        <w:rPr>
          <w:color w:val="000000" w:themeColor="text1"/>
          <w14:textFill>
            <w14:solidFill>
              <w14:schemeClr w14:val="tx1"/>
            </w14:solidFill>
          </w14:textFill>
        </w:rPr>
        <w:t>。</w:t>
      </w:r>
    </w:p>
    <w:p w14:paraId="7CF9778E">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电池系统的单一故障不应引起全船失电。</w:t>
      </w:r>
    </w:p>
    <w:p w14:paraId="59FAD96A">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蓄电池</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配电系统母排</w:t>
      </w:r>
      <w:r>
        <w:rPr>
          <w:rFonts w:hint="eastAsia"/>
          <w:color w:val="000000" w:themeColor="text1"/>
          <w14:textFill>
            <w14:solidFill>
              <w14:schemeClr w14:val="tx1"/>
            </w14:solidFill>
          </w14:textFill>
        </w:rPr>
        <w:t>之间应有隔离措施</w:t>
      </w:r>
      <w:r>
        <w:rPr>
          <w:color w:val="000000" w:themeColor="text1"/>
          <w14:textFill>
            <w14:solidFill>
              <w14:schemeClr w14:val="tx1"/>
            </w14:solidFill>
          </w14:textFill>
        </w:rPr>
        <w:t>。</w:t>
      </w:r>
    </w:p>
    <w:p w14:paraId="54905A28">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电池系统</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配电系统母排</w:t>
      </w:r>
      <w:r>
        <w:rPr>
          <w:rFonts w:hint="eastAsia"/>
          <w:color w:val="000000" w:themeColor="text1"/>
          <w14:textFill>
            <w14:solidFill>
              <w14:schemeClr w14:val="tx1"/>
            </w14:solidFill>
          </w14:textFill>
        </w:rPr>
        <w:t>之间应设置</w:t>
      </w:r>
      <w:r>
        <w:rPr>
          <w:color w:val="000000" w:themeColor="text1"/>
          <w14:textFill>
            <w14:solidFill>
              <w14:schemeClr w14:val="tx1"/>
            </w14:solidFill>
          </w14:textFill>
        </w:rPr>
        <w:t>具有短路和过流保护的保护</w:t>
      </w:r>
      <w:r>
        <w:rPr>
          <w:rFonts w:hint="eastAsia"/>
          <w:color w:val="000000" w:themeColor="text1"/>
          <w14:textFill>
            <w14:solidFill>
              <w14:schemeClr w14:val="tx1"/>
            </w14:solidFill>
          </w14:textFill>
        </w:rPr>
        <w:t>装置</w:t>
      </w:r>
      <w:r>
        <w:rPr>
          <w:color w:val="000000" w:themeColor="text1"/>
          <w14:textFill>
            <w14:solidFill>
              <w14:schemeClr w14:val="tx1"/>
            </w14:solidFill>
          </w14:textFill>
        </w:rPr>
        <w:t>。</w:t>
      </w:r>
    </w:p>
    <w:p w14:paraId="7FCA5758">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直接并联的电池子系统（最小独立供电单元）之间应设有保护措施防止内部环流。</w:t>
      </w:r>
    </w:p>
    <w:p w14:paraId="3DAA8CE6">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电池子系统应能连续在线监测绝缘电阻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并应避免多个绝缘电阻监测同时工作，以免造成干扰。</w:t>
      </w:r>
    </w:p>
    <w:p w14:paraId="11962A08">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标称电量超过50kWh的电池系统应设置独立的紧急关断装置，用于断开电池系统的连接，并满足下列要求：</w:t>
      </w:r>
    </w:p>
    <w:p w14:paraId="676B9DFE">
      <w:pPr>
        <w:pStyle w:val="58"/>
        <w:numPr>
          <w:ilvl w:val="0"/>
          <w:numId w:val="43"/>
        </w:numPr>
        <w:spacing w:line="240" w:lineRule="auto"/>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紧急关断装置应设在驾驶室和蓄电池舱外易于到达之处，动作时应同时发出视觉和听觉信号。</w:t>
      </w:r>
    </w:p>
    <w:p w14:paraId="005699AB">
      <w:pPr>
        <w:pStyle w:val="58"/>
        <w:numPr>
          <w:ilvl w:val="0"/>
          <w:numId w:val="43"/>
        </w:numPr>
        <w:spacing w:line="240" w:lineRule="auto"/>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紧急关断功能应由硬件电路执行，并与控制、显示和报警系统相互独立。</w:t>
      </w:r>
    </w:p>
    <w:p w14:paraId="2B5743D0">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电池系统的总</w:t>
      </w:r>
      <w:r>
        <w:rPr>
          <w:rFonts w:hint="eastAsia"/>
          <w:color w:val="000000" w:themeColor="text1"/>
          <w14:textFill>
            <w14:solidFill>
              <w14:schemeClr w14:val="tx1"/>
            </w14:solidFill>
          </w14:textFill>
        </w:rPr>
        <w:t>剩余</w:t>
      </w:r>
      <w:r>
        <w:rPr>
          <w:color w:val="000000" w:themeColor="text1"/>
          <w14:textFill>
            <w14:solidFill>
              <w14:schemeClr w14:val="tx1"/>
            </w14:solidFill>
          </w14:textFill>
        </w:rPr>
        <w:t>电量在达到船舶正常操作所需要的最小电量时应当发出视觉和听觉报警信号。该报警信号的报警装置应与其他报警装置独立</w:t>
      </w:r>
      <w:r>
        <w:rPr>
          <w:rFonts w:hint="eastAsia"/>
          <w:color w:val="000000" w:themeColor="text1"/>
          <w14:textFill>
            <w14:solidFill>
              <w14:schemeClr w14:val="tx1"/>
            </w14:solidFill>
          </w14:textFill>
        </w:rPr>
        <w:t>。</w:t>
      </w:r>
    </w:p>
    <w:p w14:paraId="4DF6BDF5">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64" w:name="_Toc167869213"/>
      <w:r>
        <w:rPr>
          <w:rFonts w:hint="eastAsia" w:ascii="Times New Roman" w:hAnsi="Times New Roman"/>
          <w:color w:val="000000" w:themeColor="text1"/>
          <w14:textFill>
            <w14:solidFill>
              <w14:schemeClr w14:val="tx1"/>
            </w14:solidFill>
          </w14:textFill>
        </w:rPr>
        <w:t>充电装置</w:t>
      </w:r>
      <w:bookmarkEnd w:id="64"/>
    </w:p>
    <w:p w14:paraId="2B967890">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一般要求</w:t>
      </w:r>
    </w:p>
    <w:p w14:paraId="7E29E5BC">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电池系统应配有足够容量的充电装置。充电装置应有抑制无线电干扰的措施。</w:t>
      </w:r>
    </w:p>
    <w:p w14:paraId="4C96B566">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充电装置应设有过流保护，包括短路保护。</w:t>
      </w:r>
    </w:p>
    <w:p w14:paraId="70230C81">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充电装置上或临近位置、船舶经常有人值班处所至少应设有能指示充放电电流、电压、温度、SOC等参数的仪表。</w:t>
      </w:r>
    </w:p>
    <w:p w14:paraId="41D8C3EB">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电池系统的充电装置应与BMS设有接口，并在BMS限定的条件下运行。</w:t>
      </w:r>
    </w:p>
    <w:p w14:paraId="4ADDA1E3">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若充电岸电经由连接装置与船上充电设备连接，则</w:t>
      </w:r>
      <w:r>
        <w:rPr>
          <w:rFonts w:hint="eastAsia"/>
          <w:color w:val="000000" w:themeColor="text1"/>
          <w14:textFill>
            <w14:solidFill>
              <w14:schemeClr w14:val="tx1"/>
            </w14:solidFill>
          </w14:textFill>
        </w:rPr>
        <w:t>连接装置应便于操作，并具有防止人员的无意触及和机械连锁功能。</w:t>
      </w:r>
    </w:p>
    <w:p w14:paraId="1F307B42">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充电装置应设置温度监控装置，该装置应能根据温度变化传送相应信号给充电控制系统，用于实现充电枪端的温度监测和过高温保护功能。</w:t>
      </w:r>
    </w:p>
    <w:p w14:paraId="28A0DEA4">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充电装置附近不应有易燃</w:t>
      </w:r>
      <w:r>
        <w:rPr>
          <w:rFonts w:hint="eastAsia"/>
          <w:color w:val="000000" w:themeColor="text1"/>
          <w14:textFill>
            <w14:solidFill>
              <w14:schemeClr w14:val="tx1"/>
            </w14:solidFill>
          </w14:textFill>
        </w:rPr>
        <w:t>物品</w:t>
      </w:r>
      <w:r>
        <w:rPr>
          <w:color w:val="000000" w:themeColor="text1"/>
          <w14:textFill>
            <w14:solidFill>
              <w14:schemeClr w14:val="tx1"/>
            </w14:solidFill>
          </w14:textFill>
        </w:rPr>
        <w:t>。</w:t>
      </w:r>
    </w:p>
    <w:p w14:paraId="6136C92A">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电池系统若通过直流母排充电，应设有适当的措施，避免直流母排的故障对蓄电池造成损伤。</w:t>
      </w:r>
    </w:p>
    <w:p w14:paraId="1C466983">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65" w:name="_Toc167869214"/>
      <w:r>
        <w:rPr>
          <w:rFonts w:hint="eastAsia" w:ascii="Times New Roman" w:hAnsi="Times New Roman"/>
          <w:color w:val="000000" w:themeColor="text1"/>
          <w14:textFill>
            <w14:solidFill>
              <w14:schemeClr w14:val="tx1"/>
            </w14:solidFill>
          </w14:textFill>
        </w:rPr>
        <w:t>箱式电源的要求</w:t>
      </w:r>
      <w:bookmarkEnd w:id="65"/>
    </w:p>
    <w:p w14:paraId="43DE3D6A">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bookmarkStart w:id="66" w:name="_Toc128424172"/>
      <w:r>
        <w:rPr>
          <w:rFonts w:ascii="黑体" w:hAnsi="黑体" w:eastAsia="黑体"/>
          <w:color w:val="000000" w:themeColor="text1"/>
          <w14:textFill>
            <w14:solidFill>
              <w14:schemeClr w14:val="tx1"/>
            </w14:solidFill>
          </w14:textFill>
        </w:rPr>
        <w:t>一般要求</w:t>
      </w:r>
      <w:bookmarkEnd w:id="66"/>
    </w:p>
    <w:p w14:paraId="782AD98A">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除本节4.5.1.3外，</w:t>
      </w:r>
      <w:r>
        <w:rPr>
          <w:color w:val="000000" w:themeColor="text1"/>
          <w14:textFill>
            <w14:solidFill>
              <w14:schemeClr w14:val="tx1"/>
            </w14:solidFill>
          </w14:textFill>
        </w:rPr>
        <w:t>箱式电源内蓄电池的布置</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安装应与船用主电源和/或推进电源对蓄电池及其舱的要求保持一致。</w:t>
      </w:r>
    </w:p>
    <w:p w14:paraId="06090DE9">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箱式电源应采用专门设计的适用于箱式电源的集装箱箱体。箱体结构应考虑箱体内固定支架在各种工况下造成的局部应力影响。</w:t>
      </w:r>
      <w:r>
        <w:rPr>
          <w:rFonts w:hint="eastAsia"/>
          <w:color w:val="000000" w:themeColor="text1"/>
          <w14:textFill>
            <w14:solidFill>
              <w14:schemeClr w14:val="tx1"/>
            </w14:solidFill>
          </w14:textFill>
        </w:rPr>
        <w:t>箱体应满足船用环境的要求。箱体的防护等级应与船上布置位置相适应，布置于开敞甲板的箱体的防护等级应不低于</w:t>
      </w:r>
      <w:r>
        <w:rPr>
          <w:color w:val="000000" w:themeColor="text1"/>
          <w14:textFill>
            <w14:solidFill>
              <w14:schemeClr w14:val="tx1"/>
            </w14:solidFill>
          </w14:textFill>
        </w:rPr>
        <w:t>IP56</w:t>
      </w:r>
      <w:r>
        <w:rPr>
          <w:rFonts w:hint="eastAsia"/>
          <w:color w:val="000000" w:themeColor="text1"/>
          <w14:textFill>
            <w14:solidFill>
              <w14:schemeClr w14:val="tx1"/>
            </w14:solidFill>
          </w14:textFill>
        </w:rPr>
        <w:t>。</w:t>
      </w:r>
    </w:p>
    <w:p w14:paraId="5A7F303F">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箱式电源内蓄电池距内部</w:t>
      </w:r>
      <w:r>
        <w:rPr>
          <w:rFonts w:hint="eastAsia"/>
        </w:rPr>
        <w:t>箱</w:t>
      </w:r>
      <w:r>
        <w:rPr>
          <w:color w:val="000000" w:themeColor="text1"/>
          <w14:textFill>
            <w14:solidFill>
              <w14:schemeClr w14:val="tx1"/>
            </w14:solidFill>
          </w14:textFill>
        </w:rPr>
        <w:t>壁</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箱顶的间距应</w:t>
      </w:r>
      <w:r>
        <w:rPr>
          <w:rFonts w:hint="eastAsia"/>
          <w:color w:val="000000" w:themeColor="text1"/>
          <w14:textFill>
            <w14:solidFill>
              <w14:schemeClr w14:val="tx1"/>
            </w14:solidFill>
          </w14:textFill>
        </w:rPr>
        <w:t>满足通风、散热和防碰撞的要求。蓄电池包距箱壁及箱顶的间距应不少于</w:t>
      </w:r>
      <w:r>
        <w:rPr>
          <w:color w:val="000000" w:themeColor="text1"/>
          <w14:textFill>
            <w14:solidFill>
              <w14:schemeClr w14:val="tx1"/>
            </w14:solidFill>
          </w14:textFill>
        </w:rPr>
        <w:t>150mm</w:t>
      </w:r>
      <w:r>
        <w:rPr>
          <w:rFonts w:hint="eastAsia"/>
          <w:color w:val="000000" w:themeColor="text1"/>
          <w14:textFill>
            <w14:solidFill>
              <w14:schemeClr w14:val="tx1"/>
            </w14:solidFill>
          </w14:textFill>
        </w:rPr>
        <w:t>，且距箱壁及箱顶加强结构净距离均应不小于</w:t>
      </w:r>
      <w:r>
        <w:rPr>
          <w:color w:val="000000" w:themeColor="text1"/>
          <w14:textFill>
            <w14:solidFill>
              <w14:schemeClr w14:val="tx1"/>
            </w14:solidFill>
          </w14:textFill>
        </w:rPr>
        <w:t>100mm</w:t>
      </w:r>
      <w:r>
        <w:rPr>
          <w:rFonts w:hint="eastAsia"/>
          <w:color w:val="000000" w:themeColor="text1"/>
          <w14:textFill>
            <w14:solidFill>
              <w14:schemeClr w14:val="tx1"/>
            </w14:solidFill>
          </w14:textFill>
        </w:rPr>
        <w:t>；如蓄电池包借助箱式电源内公共空间进行通风散热时，则蓄电池包距内部舱壁的净距离应不小于</w:t>
      </w:r>
      <w:r>
        <w:rPr>
          <w:color w:val="000000" w:themeColor="text1"/>
          <w14:textFill>
            <w14:solidFill>
              <w14:schemeClr w14:val="tx1"/>
            </w14:solidFill>
          </w14:textFill>
        </w:rPr>
        <w:t>150mm</w:t>
      </w:r>
      <w:r>
        <w:rPr>
          <w:rFonts w:hint="eastAsia"/>
          <w:color w:val="000000" w:themeColor="text1"/>
          <w14:textFill>
            <w14:solidFill>
              <w14:schemeClr w14:val="tx1"/>
            </w14:solidFill>
          </w14:textFill>
        </w:rPr>
        <w:t>。</w:t>
      </w:r>
    </w:p>
    <w:p w14:paraId="774D99FA">
      <w:pPr>
        <w:pStyle w:val="53"/>
        <w:numPr>
          <w:ilvl w:val="3"/>
          <w:numId w:val="39"/>
        </w:numPr>
        <w:spacing w:line="240" w:lineRule="auto"/>
        <w:ind w:left="0" w:firstLine="420" w:firstLineChars="200"/>
        <w:rPr>
          <w:color w:val="000000" w:themeColor="text1"/>
          <w14:textFill>
            <w14:solidFill>
              <w14:schemeClr w14:val="tx1"/>
            </w14:solidFill>
          </w14:textFill>
        </w:rPr>
      </w:pPr>
      <w:bookmarkStart w:id="67" w:name="OLE_LINK23"/>
      <w:bookmarkStart w:id="68" w:name="OLE_LINK22"/>
      <w:r>
        <w:rPr>
          <w:color w:val="000000" w:themeColor="text1"/>
          <w14:textFill>
            <w14:solidFill>
              <w14:schemeClr w14:val="tx1"/>
            </w14:solidFill>
          </w14:textFill>
        </w:rPr>
        <w:t>箱式电源</w:t>
      </w:r>
      <w:bookmarkEnd w:id="67"/>
      <w:bookmarkEnd w:id="68"/>
      <w:r>
        <w:rPr>
          <w:color w:val="000000" w:themeColor="text1"/>
          <w14:textFill>
            <w14:solidFill>
              <w14:schemeClr w14:val="tx1"/>
            </w14:solidFill>
          </w14:textFill>
        </w:rPr>
        <w:t>电池</w:t>
      </w:r>
      <w:r>
        <w:rPr>
          <w:rFonts w:hint="eastAsia"/>
          <w:color w:val="000000" w:themeColor="text1"/>
          <w14:textFill>
            <w14:solidFill>
              <w14:schemeClr w14:val="tx1"/>
            </w14:solidFill>
          </w14:textFill>
        </w:rPr>
        <w:t>处所</w:t>
      </w:r>
      <w:r>
        <w:rPr>
          <w:color w:val="000000" w:themeColor="text1"/>
          <w14:textFill>
            <w14:solidFill>
              <w14:schemeClr w14:val="tx1"/>
            </w14:solidFill>
          </w14:textFill>
        </w:rPr>
        <w:t>内，在蓄电池热失控状态下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需维持工作的电气设备应为防爆型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无需工作的非防爆电气设备</w:t>
      </w:r>
      <w:r>
        <w:rPr>
          <w:rFonts w:hint="eastAsia"/>
          <w:color w:val="000000" w:themeColor="text1"/>
          <w14:textFill>
            <w14:solidFill>
              <w14:schemeClr w14:val="tx1"/>
            </w14:solidFill>
          </w14:textFill>
        </w:rPr>
        <w:t>应</w:t>
      </w:r>
      <w:r>
        <w:rPr>
          <w:color w:val="000000" w:themeColor="text1"/>
          <w14:textFill>
            <w14:solidFill>
              <w14:schemeClr w14:val="tx1"/>
            </w14:solidFill>
          </w14:textFill>
        </w:rPr>
        <w:t>能自动切断。</w:t>
      </w:r>
    </w:p>
    <w:p w14:paraId="746ED940">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除本节要求外，箱式电源尚应满足本局按规定程序认可和公布的中国船级社《船舶应用电池动力规范（</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）》及其修改通报第7章第2节的相关要求。</w:t>
      </w:r>
    </w:p>
    <w:p w14:paraId="0BEB455D">
      <w:pPr>
        <w:pStyle w:val="41"/>
        <w:keepNext w:val="0"/>
        <w:keepLines w:val="0"/>
        <w:numPr>
          <w:ilvl w:val="2"/>
          <w:numId w:val="39"/>
        </w:numPr>
        <w:adjustRightInd w:val="0"/>
        <w:snapToGrid w:val="0"/>
        <w:spacing w:before="312" w:line="360" w:lineRule="auto"/>
        <w:ind w:firstLine="420" w:firstLineChars="200"/>
        <w:jc w:val="left"/>
        <w:rPr>
          <w:rFonts w:hint="eastAsia"/>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箱式电源与船舶的连接</w:t>
      </w:r>
    </w:p>
    <w:p w14:paraId="45EDDED5">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箱式电源应具有与船舶匹配的电气、通信、冷却、消防等接口，并与船舶管理系统具有一致的通信协议。箱式电源应能受船舶管理系统管理，向船舶正常供电。</w:t>
      </w:r>
    </w:p>
    <w:p w14:paraId="39417422">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箱式电源应</w:t>
      </w:r>
      <w:r>
        <w:rPr>
          <w:color w:val="000000" w:themeColor="text1"/>
          <w14:textFill>
            <w14:solidFill>
              <w14:schemeClr w14:val="tx1"/>
            </w14:solidFill>
          </w14:textFill>
        </w:rPr>
        <w:t>具备专用装置自动解锁功能和手动解锁功能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应采用</w:t>
      </w:r>
      <w:r>
        <w:rPr>
          <w:rFonts w:hint="eastAsia"/>
          <w:color w:val="000000" w:themeColor="text1"/>
          <w14:textFill>
            <w14:solidFill>
              <w14:schemeClr w14:val="tx1"/>
            </w14:solidFill>
          </w14:textFill>
        </w:rPr>
        <w:t>两</w:t>
      </w:r>
      <w:r>
        <w:rPr>
          <w:color w:val="000000" w:themeColor="text1"/>
          <w14:textFill>
            <w14:solidFill>
              <w14:schemeClr w14:val="tx1"/>
            </w14:solidFill>
          </w14:textFill>
        </w:rPr>
        <w:t>个及以上步骤解锁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使用工具扳拧螺纹的操作视为多步解锁</w:t>
      </w:r>
      <w:r>
        <w:rPr>
          <w:rFonts w:hint="eastAsia"/>
          <w:color w:val="000000" w:themeColor="text1"/>
          <w14:textFill>
            <w14:solidFill>
              <w14:schemeClr w14:val="tx1"/>
            </w14:solidFill>
          </w14:textFill>
        </w:rPr>
        <w:t>。</w:t>
      </w:r>
    </w:p>
    <w:p w14:paraId="04831FFD">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箱式电源与船舶连接的接插件应有防止不正确耦合的结构或设计。</w:t>
      </w:r>
    </w:p>
    <w:p w14:paraId="2C1CE9A0">
      <w:pPr>
        <w:pStyle w:val="53"/>
        <w:spacing w:line="240" w:lineRule="auto"/>
        <w:rPr>
          <w:color w:val="000000" w:themeColor="text1"/>
          <w14:textFill>
            <w14:solidFill>
              <w14:schemeClr w14:val="tx1"/>
            </w14:solidFill>
          </w14:textFill>
        </w:rPr>
      </w:pPr>
    </w:p>
    <w:p w14:paraId="7241E528">
      <w:pPr>
        <w:rPr>
          <w:color w:val="000000" w:themeColor="text1"/>
          <w14:textFill>
            <w14:solidFill>
              <w14:schemeClr w14:val="tx1"/>
            </w14:solidFill>
          </w14:textFill>
        </w:rPr>
      </w:pPr>
    </w:p>
    <w:p w14:paraId="3DDF7753">
      <w:pPr>
        <w:pStyle w:val="39"/>
        <w:keepNext w:val="0"/>
        <w:keepLines w:val="0"/>
        <w:numPr>
          <w:ilvl w:val="0"/>
          <w:numId w:val="39"/>
        </w:numPr>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pPr>
      <w:bookmarkStart w:id="69" w:name="_Toc167869215"/>
      <w:r>
        <w:rPr>
          <w:rFonts w:hint="eastAsia"/>
          <w:color w:val="000000" w:themeColor="text1"/>
          <w14:textFill>
            <w14:solidFill>
              <w14:schemeClr w14:val="tx1"/>
            </w14:solidFill>
          </w14:textFill>
        </w:rPr>
        <w:t>配电系统</w:t>
      </w:r>
      <w:bookmarkEnd w:id="69"/>
    </w:p>
    <w:p w14:paraId="151AA3EF">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70" w:name="_Toc167869216"/>
      <w:r>
        <w:rPr>
          <w:rFonts w:hint="eastAsia" w:ascii="Times New Roman" w:hAnsi="Times New Roman"/>
          <w:color w:val="000000" w:themeColor="text1"/>
          <w14:textFill>
            <w14:solidFill>
              <w14:schemeClr w14:val="tx1"/>
            </w14:solidFill>
          </w14:textFill>
        </w:rPr>
        <w:t>一般规定</w:t>
      </w:r>
      <w:bookmarkEnd w:id="70"/>
    </w:p>
    <w:p w14:paraId="27666990">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一般要求</w:t>
      </w:r>
    </w:p>
    <w:p w14:paraId="51A013DB">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船舶配电系统除满足本规则外，还应满足</w:t>
      </w:r>
      <w:r>
        <w:rPr>
          <w:rFonts w:hint="eastAsia"/>
          <w:color w:val="000000" w:themeColor="text1"/>
          <w14:textFill>
            <w14:solidFill>
              <w14:schemeClr w14:val="tx1"/>
            </w14:solidFill>
          </w14:textFill>
        </w:rPr>
        <w:t>本局对船舶航行水域适用的</w:t>
      </w:r>
      <w:r>
        <w:rPr>
          <w:color w:val="000000" w:themeColor="text1"/>
          <w14:textFill>
            <w14:solidFill>
              <w14:schemeClr w14:val="tx1"/>
            </w14:solidFill>
          </w14:textFill>
        </w:rPr>
        <w:t>规则对船舶配电系统的有关要求。</w:t>
      </w:r>
    </w:p>
    <w:p w14:paraId="54EB54B4">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船舶配电系统设计与布置，应使得船舶动力系统的安全性和可靠性不低于</w:t>
      </w:r>
      <w:r>
        <w:rPr>
          <w:rFonts w:hint="eastAsia"/>
          <w:color w:val="000000" w:themeColor="text1"/>
          <w14:textFill>
            <w14:solidFill>
              <w14:schemeClr w14:val="tx1"/>
            </w14:solidFill>
          </w14:textFill>
        </w:rPr>
        <w:t>常规燃油</w:t>
      </w:r>
      <w:r>
        <w:rPr>
          <w:color w:val="000000" w:themeColor="text1"/>
          <w14:textFill>
            <w14:solidFill>
              <w14:schemeClr w14:val="tx1"/>
            </w14:solidFill>
          </w14:textFill>
        </w:rPr>
        <w:t>动力船舶。</w:t>
      </w:r>
    </w:p>
    <w:p w14:paraId="68EC2297">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在故障条件下，船舶配电系统及设备应具备适当的保护，以尽量避免下列情况发生：</w:t>
      </w:r>
    </w:p>
    <w:p w14:paraId="0A41D1F6">
      <w:pPr>
        <w:pStyle w:val="58"/>
        <w:numPr>
          <w:ilvl w:val="0"/>
          <w:numId w:val="44"/>
        </w:numPr>
        <w:spacing w:line="240" w:lineRule="auto"/>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设备本身受损；</w:t>
      </w:r>
    </w:p>
    <w:p w14:paraId="3B2E80DA">
      <w:pPr>
        <w:pStyle w:val="58"/>
        <w:numPr>
          <w:ilvl w:val="0"/>
          <w:numId w:val="44"/>
        </w:numPr>
        <w:spacing w:line="240" w:lineRule="auto"/>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连接到设备的其他设备损坏；</w:t>
      </w:r>
    </w:p>
    <w:p w14:paraId="41FF8867">
      <w:pPr>
        <w:pStyle w:val="58"/>
        <w:numPr>
          <w:ilvl w:val="0"/>
          <w:numId w:val="44"/>
        </w:numPr>
        <w:spacing w:line="240" w:lineRule="auto"/>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船员和乘客受伤。</w:t>
      </w:r>
    </w:p>
    <w:p w14:paraId="10DD3B58">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配电系统</w:t>
      </w:r>
      <w:r>
        <w:rPr>
          <w:rFonts w:hint="eastAsia"/>
          <w:color w:val="000000" w:themeColor="text1"/>
          <w14:textFill>
            <w14:solidFill>
              <w14:schemeClr w14:val="tx1"/>
            </w14:solidFill>
          </w14:textFill>
        </w:rPr>
        <w:t>应设有温度调节措施。温度调节装置的换热量应根据配电系统的需求计算确定。采用</w:t>
      </w:r>
      <w:r>
        <w:rPr>
          <w:color w:val="000000" w:themeColor="text1"/>
          <w14:textFill>
            <w14:solidFill>
              <w14:schemeClr w14:val="tx1"/>
            </w14:solidFill>
          </w14:textFill>
        </w:rPr>
        <w:t>冷却系统</w:t>
      </w:r>
      <w:r>
        <w:rPr>
          <w:rFonts w:hint="eastAsia"/>
          <w:color w:val="000000" w:themeColor="text1"/>
          <w14:textFill>
            <w14:solidFill>
              <w14:schemeClr w14:val="tx1"/>
            </w14:solidFill>
          </w14:textFill>
        </w:rPr>
        <w:t>时，其设计应能防止因冷却系统的故障造成双套或多套设备的同时失效</w:t>
      </w:r>
      <w:r>
        <w:rPr>
          <w:color w:val="000000" w:themeColor="text1"/>
          <w14:textFill>
            <w14:solidFill>
              <w14:schemeClr w14:val="tx1"/>
            </w14:solidFill>
          </w14:textFill>
        </w:rPr>
        <w:t>。</w:t>
      </w:r>
    </w:p>
    <w:p w14:paraId="0C241225">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71" w:name="_Toc167869217"/>
      <w:r>
        <w:rPr>
          <w:rFonts w:hint="eastAsia" w:ascii="Times New Roman" w:hAnsi="Times New Roman"/>
          <w:color w:val="000000" w:themeColor="text1"/>
          <w14:textFill>
            <w14:solidFill>
              <w14:schemeClr w14:val="tx1"/>
            </w14:solidFill>
          </w14:textFill>
        </w:rPr>
        <w:t>直流配电系统</w:t>
      </w:r>
      <w:bookmarkEnd w:id="71"/>
    </w:p>
    <w:p w14:paraId="4C9B2AE8">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一般要求</w:t>
      </w:r>
    </w:p>
    <w:p w14:paraId="4DE09CE4">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船舶设置直流</w:t>
      </w:r>
      <w:r>
        <w:rPr>
          <w:rFonts w:hint="eastAsia"/>
          <w:color w:val="000000" w:themeColor="text1"/>
          <w14:textFill>
            <w14:solidFill>
              <w14:schemeClr w14:val="tx1"/>
            </w14:solidFill>
          </w14:textFill>
        </w:rPr>
        <w:t>配电</w:t>
      </w:r>
      <w:r>
        <w:rPr>
          <w:color w:val="000000" w:themeColor="text1"/>
          <w14:textFill>
            <w14:solidFill>
              <w14:schemeClr w14:val="tx1"/>
            </w14:solidFill>
          </w14:textFill>
        </w:rPr>
        <w:t>系统时，安全性和可靠性应与</w:t>
      </w:r>
      <w:r>
        <w:rPr>
          <w:rFonts w:hint="eastAsia"/>
          <w:color w:val="000000" w:themeColor="text1"/>
          <w14:textFill>
            <w14:solidFill>
              <w14:schemeClr w14:val="tx1"/>
            </w14:solidFill>
          </w14:textFill>
        </w:rPr>
        <w:t>常规燃油</w:t>
      </w:r>
      <w:r>
        <w:rPr>
          <w:color w:val="000000" w:themeColor="text1"/>
          <w14:textFill>
            <w14:solidFill>
              <w14:schemeClr w14:val="tx1"/>
            </w14:solidFill>
          </w14:textFill>
        </w:rPr>
        <w:t>动力船舶处于同一水平。</w:t>
      </w:r>
    </w:p>
    <w:p w14:paraId="5DED5F4B">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直流配电系统的设计、</w:t>
      </w:r>
      <w:r>
        <w:rPr>
          <w:rFonts w:hint="eastAsia"/>
          <w:color w:val="000000" w:themeColor="text1"/>
          <w14:textFill>
            <w14:solidFill>
              <w14:schemeClr w14:val="tx1"/>
            </w14:solidFill>
          </w14:textFill>
        </w:rPr>
        <w:t>系统保护、控制和监测、电磁兼容、故障模式和影响分析</w:t>
      </w:r>
      <w:r>
        <w:rPr>
          <w:color w:val="000000" w:themeColor="text1"/>
          <w14:textFill>
            <w14:solidFill>
              <w14:schemeClr w14:val="tx1"/>
            </w14:solidFill>
          </w14:textFill>
        </w:rPr>
        <w:t>、制造</w:t>
      </w:r>
      <w:r>
        <w:rPr>
          <w:rFonts w:hint="eastAsia"/>
          <w:color w:val="000000" w:themeColor="text1"/>
          <w14:textFill>
            <w14:solidFill>
              <w14:schemeClr w14:val="tx1"/>
            </w14:solidFill>
          </w14:textFill>
        </w:rPr>
        <w:t>、检验</w:t>
      </w:r>
      <w:r>
        <w:rPr>
          <w:color w:val="000000" w:themeColor="text1"/>
          <w14:textFill>
            <w14:solidFill>
              <w14:schemeClr w14:val="tx1"/>
            </w14:solidFill>
          </w14:textFill>
        </w:rPr>
        <w:t>应满足本局按规定程序认可</w:t>
      </w:r>
      <w:r>
        <w:rPr>
          <w:rFonts w:hint="eastAsia"/>
          <w:color w:val="000000" w:themeColor="text1"/>
          <w14:textFill>
            <w14:solidFill>
              <w14:schemeClr w14:val="tx1"/>
            </w14:solidFill>
          </w14:textFill>
        </w:rPr>
        <w:t>和公布的中国船级社《船舶应用电池动力规范（</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）》及其修改通报第4章第2节的相关要求。</w:t>
      </w:r>
    </w:p>
    <w:p w14:paraId="04D63C0F">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直流母排系统应提供短路试验报告，设备和元件的短路电流承载能力的验证及分析应包含在试验报告中。当无法提供经现场验船师见证的试验报告时，应补充进行相应试验，这些试验可以在工厂完成，也可以在装船后完成。</w:t>
      </w:r>
      <w:r>
        <w:rPr>
          <w:rFonts w:hint="eastAsia"/>
        </w:rPr>
        <w:t>同一套产品图纸的</w:t>
      </w:r>
      <w:r>
        <w:rPr>
          <w:rFonts w:hint="eastAsia"/>
          <w:color w:val="000000" w:themeColor="text1"/>
          <w14:textFill>
            <w14:solidFill>
              <w14:schemeClr w14:val="tx1"/>
            </w14:solidFill>
          </w14:textFill>
        </w:rPr>
        <w:t>直流母排系统应用在后续其他船舶时，无需再次试验，但应提供首制船试验报告。</w:t>
      </w:r>
    </w:p>
    <w:p w14:paraId="255DA54F">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72" w:name="_Toc167869218"/>
      <w:r>
        <w:rPr>
          <w:rFonts w:hint="eastAsia" w:ascii="Times New Roman" w:hAnsi="Times New Roman"/>
          <w:color w:val="000000" w:themeColor="text1"/>
          <w14:textFill>
            <w14:solidFill>
              <w14:schemeClr w14:val="tx1"/>
            </w14:solidFill>
          </w14:textFill>
        </w:rPr>
        <w:t>交流配电系统</w:t>
      </w:r>
      <w:bookmarkEnd w:id="72"/>
    </w:p>
    <w:p w14:paraId="1C8A786E">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一般要求</w:t>
      </w:r>
    </w:p>
    <w:p w14:paraId="1F3FEF35">
      <w:pPr>
        <w:pStyle w:val="53"/>
        <w:numPr>
          <w:ilvl w:val="3"/>
          <w:numId w:val="39"/>
        </w:numPr>
        <w:spacing w:line="240" w:lineRule="auto"/>
        <w:ind w:left="0" w:firstLine="420" w:firstLineChars="20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t>船舶设置交流配电系统时，</w:t>
      </w:r>
      <w:r>
        <w:rPr>
          <w:rFonts w:hint="eastAsia"/>
          <w:color w:val="000000" w:themeColor="text1"/>
          <w14:textFill>
            <w14:solidFill>
              <w14:schemeClr w14:val="tx1"/>
            </w14:solidFill>
          </w14:textFill>
        </w:rPr>
        <w:t>应满足本局对船舶航行水域适用的规则和</w:t>
      </w:r>
      <w:r>
        <w:rPr>
          <w:color w:val="000000" w:themeColor="text1"/>
          <w14:textFill>
            <w14:solidFill>
              <w14:schemeClr w14:val="tx1"/>
            </w14:solidFill>
          </w14:textFill>
        </w:rPr>
        <w:t>本局按规定程序认可</w:t>
      </w:r>
      <w:r>
        <w:rPr>
          <w:rFonts w:hint="eastAsia"/>
          <w:color w:val="000000" w:themeColor="text1"/>
          <w14:textFill>
            <w14:solidFill>
              <w14:schemeClr w14:val="tx1"/>
            </w14:solidFill>
          </w14:textFill>
        </w:rPr>
        <w:t>和公布的中国船级社《船舶应用电池动力规范（</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）》及其修改通报第4章第3节的相关要求。</w:t>
      </w:r>
    </w:p>
    <w:p w14:paraId="31DEF393">
      <w:pPr>
        <w:rPr>
          <w:color w:val="000000" w:themeColor="text1"/>
          <w14:textFill>
            <w14:solidFill>
              <w14:schemeClr w14:val="tx1"/>
            </w14:solidFill>
          </w14:textFill>
        </w:rPr>
      </w:pPr>
    </w:p>
    <w:p w14:paraId="47A548B6">
      <w:pPr>
        <w:widowControl/>
        <w:jc w:val="left"/>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14:paraId="3F26E853">
      <w:pPr>
        <w:pStyle w:val="39"/>
        <w:keepNext w:val="0"/>
        <w:keepLines w:val="0"/>
        <w:numPr>
          <w:ilvl w:val="0"/>
          <w:numId w:val="39"/>
        </w:numPr>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pPr>
      <w:bookmarkStart w:id="73" w:name="_Toc167869219"/>
      <w:r>
        <w:rPr>
          <w:rFonts w:hint="eastAsia" w:ascii="Times New Roman" w:hAnsi="Times New Roman" w:cs="Times New Roman"/>
          <w:color w:val="000000" w:themeColor="text1"/>
          <w14:textFill>
            <w14:solidFill>
              <w14:schemeClr w14:val="tx1"/>
            </w14:solidFill>
          </w14:textFill>
        </w:rPr>
        <w:t>控制、监测、报警和安全系统</w:t>
      </w:r>
      <w:bookmarkEnd w:id="73"/>
    </w:p>
    <w:p w14:paraId="24F3A7A7">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74" w:name="_Toc167869220"/>
      <w:r>
        <w:rPr>
          <w:rFonts w:hint="eastAsia" w:ascii="Times New Roman" w:hAnsi="Times New Roman"/>
          <w:color w:val="000000" w:themeColor="text1"/>
          <w14:textFill>
            <w14:solidFill>
              <w14:schemeClr w14:val="tx1"/>
            </w14:solidFill>
          </w14:textFill>
        </w:rPr>
        <w:t>一般规定</w:t>
      </w:r>
      <w:bookmarkEnd w:id="74"/>
    </w:p>
    <w:p w14:paraId="3C890C9D">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eastAsia="黑体"/>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一般要求</w:t>
      </w:r>
    </w:p>
    <w:p w14:paraId="7E35AABE">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船舶</w:t>
      </w:r>
      <w:r>
        <w:rPr>
          <w:rFonts w:hint="eastAsia"/>
          <w:color w:val="000000" w:themeColor="text1"/>
          <w14:textFill>
            <w14:solidFill>
              <w14:schemeClr w14:val="tx1"/>
            </w14:solidFill>
          </w14:textFill>
        </w:rPr>
        <w:t>控制、监测、报警和安全</w:t>
      </w:r>
      <w:r>
        <w:rPr>
          <w:color w:val="000000" w:themeColor="text1"/>
          <w14:textFill>
            <w14:solidFill>
              <w14:schemeClr w14:val="tx1"/>
            </w14:solidFill>
          </w14:textFill>
        </w:rPr>
        <w:t>系统除满足本规则外，还应满足</w:t>
      </w:r>
      <w:r>
        <w:rPr>
          <w:rFonts w:hint="eastAsia"/>
          <w:color w:val="000000" w:themeColor="text1"/>
          <w14:textFill>
            <w14:solidFill>
              <w14:schemeClr w14:val="tx1"/>
            </w14:solidFill>
          </w14:textFill>
        </w:rPr>
        <w:t>本局对船舶航行水域适用的</w:t>
      </w:r>
      <w:r>
        <w:rPr>
          <w:color w:val="000000" w:themeColor="text1"/>
          <w14:textFill>
            <w14:solidFill>
              <w14:schemeClr w14:val="tx1"/>
            </w14:solidFill>
          </w14:textFill>
        </w:rPr>
        <w:t>规则对船舶</w:t>
      </w:r>
      <w:r>
        <w:rPr>
          <w:rFonts w:hint="eastAsia"/>
          <w:color w:val="000000" w:themeColor="text1"/>
          <w14:textFill>
            <w14:solidFill>
              <w14:schemeClr w14:val="tx1"/>
            </w14:solidFill>
          </w14:textFill>
        </w:rPr>
        <w:t>控制、监测、报警和安全</w:t>
      </w:r>
      <w:r>
        <w:rPr>
          <w:color w:val="000000" w:themeColor="text1"/>
          <w14:textFill>
            <w14:solidFill>
              <w14:schemeClr w14:val="tx1"/>
            </w14:solidFill>
          </w14:textFill>
        </w:rPr>
        <w:t>系统的有关要求。</w:t>
      </w:r>
    </w:p>
    <w:p w14:paraId="2F691842">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本章所述的控制、监测、报警和安全系统包括船舶管理系统、BMS、温度监测报警系统、可燃气体探测报警系统等。</w:t>
      </w:r>
    </w:p>
    <w:p w14:paraId="69F45B68">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本章所述的控制、监测、报警和安全系统应由独立的最后分路供电，并设有短路和过载保护。当上述系统发生电源故障时应发出视觉和听觉报警。</w:t>
      </w:r>
    </w:p>
    <w:p w14:paraId="597AC7CB">
      <w:pPr>
        <w:pStyle w:val="53"/>
        <w:numPr>
          <w:ilvl w:val="3"/>
          <w:numId w:val="39"/>
        </w:numPr>
        <w:spacing w:line="240" w:lineRule="auto"/>
        <w:ind w:left="0" w:firstLine="420" w:firstLineChars="200"/>
        <w:rPr>
          <w:color w:val="000000" w:themeColor="text1"/>
          <w14:textFill>
            <w14:solidFill>
              <w14:schemeClr w14:val="tx1"/>
            </w14:solidFill>
          </w14:textFill>
        </w:rPr>
      </w:pPr>
      <w:bookmarkStart w:id="75" w:name="_Toc167869221"/>
      <w:r>
        <w:rPr>
          <w:rFonts w:hint="eastAsia"/>
          <w:color w:val="000000" w:themeColor="text1"/>
          <w14:textFill>
            <w14:solidFill>
              <w14:schemeClr w14:val="tx1"/>
            </w14:solidFill>
          </w14:textFill>
        </w:rPr>
        <w:t>除本节要求外，船舶管理系统、BMS尚应满足本局按规定程序认可和公布的中国船级社《船舶应用电池动力规范（</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）》及其修改通报第3章第1节、第</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章第</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节的相关要求。</w:t>
      </w:r>
    </w:p>
    <w:p w14:paraId="128285F0">
      <w:pPr>
        <w:pStyle w:val="40"/>
        <w:numPr>
          <w:ilvl w:val="1"/>
          <w:numId w:val="39"/>
        </w:numPr>
        <w:spacing w:before="312" w:after="31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船舶管理</w:t>
      </w:r>
      <w:bookmarkEnd w:id="75"/>
    </w:p>
    <w:p w14:paraId="57E51942">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一般要求</w:t>
      </w:r>
    </w:p>
    <w:p w14:paraId="268E5FFE">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船舶应设置船舶管理系统，用于对船舶动力系统（包括电池系统、配电系统和推进系统）的监测、报警和控制。船舶管理系统应布置在船舶通常有人值班的处所。</w:t>
      </w:r>
    </w:p>
    <w:p w14:paraId="1E04C6A8">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船舶管理系统应由主电源和应急电源两路电源供电，两路电源应能自动转换。</w:t>
      </w:r>
    </w:p>
    <w:p w14:paraId="2B29D75E">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根据船舶配备电池总电量的不同，船舶管理系统可采用如下设置型式：</w:t>
      </w:r>
    </w:p>
    <w:p w14:paraId="5CF31D1C">
      <w:pPr>
        <w:pStyle w:val="58"/>
        <w:numPr>
          <w:ilvl w:val="0"/>
          <w:numId w:val="45"/>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蓄电池组总电量大于</w:t>
      </w:r>
      <w:r>
        <w:rPr>
          <w:rFonts w:ascii="Times New Roman" w:hAnsi="Times New Roman"/>
          <w:color w:val="000000" w:themeColor="text1"/>
          <w14:textFill>
            <w14:solidFill>
              <w14:schemeClr w14:val="tx1"/>
            </w14:solidFill>
          </w14:textFill>
        </w:rPr>
        <w:t>100kWh</w:t>
      </w:r>
      <w:r>
        <w:rPr>
          <w:rFonts w:hint="eastAsia"/>
          <w:color w:val="000000" w:themeColor="text1"/>
          <w14:textFill>
            <w14:solidFill>
              <w14:schemeClr w14:val="tx1"/>
            </w14:solidFill>
          </w14:textFill>
        </w:rPr>
        <w:t>的船舶，应设置</w:t>
      </w:r>
      <w:r>
        <w:rPr>
          <w:rFonts w:ascii="Times New Roman" w:hAnsi="Times New Roman"/>
          <w:color w:val="000000" w:themeColor="text1"/>
          <w14:textFill>
            <w14:solidFill>
              <w14:schemeClr w14:val="tx1"/>
            </w14:solidFill>
          </w14:textFill>
        </w:rPr>
        <w:t>PMS</w:t>
      </w:r>
      <w:r>
        <w:rPr>
          <w:rFonts w:ascii="Times New Roman"/>
          <w:color w:val="000000" w:themeColor="text1"/>
          <w14:textFill>
            <w14:solidFill>
              <w14:schemeClr w14:val="tx1"/>
            </w14:solidFill>
          </w14:textFill>
        </w:rPr>
        <w:t>或</w:t>
      </w:r>
      <w:r>
        <w:rPr>
          <w:rFonts w:ascii="Times New Roman" w:hAnsi="Times New Roman"/>
          <w:color w:val="000000" w:themeColor="text1"/>
          <w14:textFill>
            <w14:solidFill>
              <w14:schemeClr w14:val="tx1"/>
            </w14:solidFill>
          </w14:textFill>
        </w:rPr>
        <w:t>EMS</w:t>
      </w:r>
      <w:r>
        <w:rPr>
          <w:rFonts w:hint="eastAsia"/>
          <w:color w:val="000000" w:themeColor="text1"/>
          <w14:textFill>
            <w14:solidFill>
              <w14:schemeClr w14:val="tx1"/>
            </w14:solidFill>
          </w14:textFill>
        </w:rPr>
        <w:t>作为船舶管理系统；</w:t>
      </w:r>
    </w:p>
    <w:p w14:paraId="367E0CE5">
      <w:pPr>
        <w:pStyle w:val="58"/>
        <w:numPr>
          <w:ilvl w:val="0"/>
          <w:numId w:val="45"/>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蓄电池组总电量小于</w:t>
      </w:r>
      <w:r>
        <w:rPr>
          <w:rFonts w:ascii="Times New Roman"/>
          <w:color w:val="000000" w:themeColor="text1"/>
          <w14:textFill>
            <w14:solidFill>
              <w14:schemeClr w14:val="tx1"/>
            </w14:solidFill>
          </w14:textFill>
        </w:rPr>
        <w:t>等于</w:t>
      </w:r>
      <w:r>
        <w:rPr>
          <w:rFonts w:ascii="Times New Roman" w:hAnsi="Times New Roman"/>
          <w:color w:val="000000" w:themeColor="text1"/>
          <w14:textFill>
            <w14:solidFill>
              <w14:schemeClr w14:val="tx1"/>
            </w14:solidFill>
          </w14:textFill>
        </w:rPr>
        <w:t>100kWh</w:t>
      </w:r>
      <w:r>
        <w:rPr>
          <w:rFonts w:ascii="Times New Roman"/>
          <w:color w:val="000000" w:themeColor="text1"/>
          <w14:textFill>
            <w14:solidFill>
              <w14:schemeClr w14:val="tx1"/>
            </w14:solidFill>
          </w14:textFill>
        </w:rPr>
        <w:t>的船舶，应设置</w:t>
      </w:r>
      <w:r>
        <w:rPr>
          <w:rFonts w:ascii="Times New Roman" w:hAnsi="Times New Roman"/>
          <w:color w:val="000000" w:themeColor="text1"/>
          <w14:textFill>
            <w14:solidFill>
              <w14:schemeClr w14:val="tx1"/>
            </w14:solidFill>
          </w14:textFill>
        </w:rPr>
        <w:t>AMS</w:t>
      </w:r>
      <w:r>
        <w:rPr>
          <w:rFonts w:hint="eastAsia"/>
          <w:color w:val="000000" w:themeColor="text1"/>
          <w14:textFill>
            <w14:solidFill>
              <w14:schemeClr w14:val="tx1"/>
            </w14:solidFill>
          </w14:textFill>
        </w:rPr>
        <w:t>作为船舶管理系统。</w:t>
      </w:r>
    </w:p>
    <w:p w14:paraId="512E684D">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船舶管理系统应具备数据存储与导出功能，监测数据存档期限不低于年度检验周期且不少于</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个月。</w:t>
      </w:r>
    </w:p>
    <w:p w14:paraId="13B2052D">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76" w:name="_Toc167869222"/>
      <w:r>
        <w:rPr>
          <w:rFonts w:hint="eastAsia" w:ascii="Times New Roman" w:hAnsi="Times New Roman"/>
          <w:color w:val="000000" w:themeColor="text1"/>
          <w14:textFill>
            <w14:solidFill>
              <w14:schemeClr w14:val="tx1"/>
            </w14:solidFill>
          </w14:textFill>
        </w:rPr>
        <w:t>电池管理</w:t>
      </w:r>
      <w:bookmarkEnd w:id="76"/>
    </w:p>
    <w:p w14:paraId="52750D97">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一般要求</w:t>
      </w:r>
    </w:p>
    <w:p w14:paraId="5D593CD6">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MS应由主电源和应急电源两路电源供电，两路电源应能自动转换。对于箱式电源，BMS应至少由两路供电，其中一路电源应由除本箱体主电源以外的其他电源系统供电，且供电时间满足本局对船舶航行水域适用的规则对应急电源供电时间的要求，并满足箱式电源可能存在的最长等待时间，两者取大者。当本箱体主电源失电时，应能自动从本箱体主电源以外的电源获得供电。</w:t>
      </w:r>
    </w:p>
    <w:p w14:paraId="0E4E2D4E">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BMS需根据蓄电池层级配备电池控制单元和电池监测电路。电池控制单元应能够接收蓄电池模块/蓄电池包内监测电路采集的信息（如电压、温度等）。</w:t>
      </w:r>
    </w:p>
    <w:p w14:paraId="4F4B18BC">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BMS应设有与船舶管理系统的数据传输接口，且能通过此传输接口将6.3.2.1~6.3.2.4所列信息反馈给船舶管理系统并接受其管理。</w:t>
      </w:r>
    </w:p>
    <w:p w14:paraId="6CBC13E8">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基本功能</w:t>
      </w:r>
    </w:p>
    <w:p w14:paraId="5E453724">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BMS应能对下列项目进行监测，并在就地及船舶经常有人值班处所显示下列信息（包含但不限于）：</w:t>
      </w:r>
    </w:p>
    <w:p w14:paraId="33C03BDE">
      <w:pPr>
        <w:pStyle w:val="58"/>
        <w:numPr>
          <w:ilvl w:val="0"/>
          <w:numId w:val="46"/>
        </w:numPr>
        <w:spacing w:line="240" w:lineRule="auto"/>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电池系统电压；</w:t>
      </w:r>
    </w:p>
    <w:p w14:paraId="00CA01C4">
      <w:pPr>
        <w:pStyle w:val="58"/>
        <w:numPr>
          <w:ilvl w:val="0"/>
          <w:numId w:val="46"/>
        </w:numPr>
        <w:spacing w:line="240" w:lineRule="auto"/>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蓄电池单体电压；</w:t>
      </w:r>
    </w:p>
    <w:p w14:paraId="24D8440A">
      <w:pPr>
        <w:pStyle w:val="58"/>
        <w:numPr>
          <w:ilvl w:val="0"/>
          <w:numId w:val="46"/>
        </w:numPr>
        <w:spacing w:line="240" w:lineRule="auto"/>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蓄电池单体温度；</w:t>
      </w:r>
    </w:p>
    <w:p w14:paraId="735D7C45">
      <w:pPr>
        <w:pStyle w:val="58"/>
        <w:numPr>
          <w:ilvl w:val="0"/>
          <w:numId w:val="46"/>
        </w:numPr>
        <w:spacing w:line="240" w:lineRule="auto"/>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电池串联回路电流；</w:t>
      </w:r>
    </w:p>
    <w:p w14:paraId="7E6C5C7A">
      <w:pPr>
        <w:pStyle w:val="58"/>
        <w:numPr>
          <w:ilvl w:val="0"/>
          <w:numId w:val="46"/>
        </w:numPr>
        <w:spacing w:line="240" w:lineRule="auto"/>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环境温度；</w:t>
      </w:r>
    </w:p>
    <w:p w14:paraId="04745824">
      <w:pPr>
        <w:pStyle w:val="58"/>
        <w:numPr>
          <w:ilvl w:val="0"/>
          <w:numId w:val="46"/>
        </w:numPr>
        <w:spacing w:line="240" w:lineRule="auto"/>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电池系统绝缘电阻；</w:t>
      </w:r>
    </w:p>
    <w:p w14:paraId="4F6DA767">
      <w:pPr>
        <w:pStyle w:val="58"/>
        <w:numPr>
          <w:ilvl w:val="0"/>
          <w:numId w:val="46"/>
        </w:numPr>
        <w:spacing w:line="240" w:lineRule="auto"/>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电池系统</w:t>
      </w:r>
      <w:r>
        <w:rPr>
          <w:rFonts w:ascii="Times New Roman" w:hAnsi="Times New Roman"/>
          <w:color w:val="000000" w:themeColor="text1"/>
          <w:szCs w:val="21"/>
          <w14:textFill>
            <w14:solidFill>
              <w14:schemeClr w14:val="tx1"/>
            </w14:solidFill>
          </w14:textFill>
        </w:rPr>
        <w:t>SOC</w:t>
      </w:r>
      <w:r>
        <w:rPr>
          <w:rFonts w:hint="eastAsia" w:cs="宋体"/>
          <w:color w:val="000000" w:themeColor="text1"/>
          <w:szCs w:val="21"/>
          <w14:textFill>
            <w14:solidFill>
              <w14:schemeClr w14:val="tx1"/>
            </w14:solidFill>
          </w14:textFill>
        </w:rPr>
        <w:t>；</w:t>
      </w:r>
    </w:p>
    <w:p w14:paraId="21039121">
      <w:pPr>
        <w:pStyle w:val="58"/>
        <w:numPr>
          <w:ilvl w:val="0"/>
          <w:numId w:val="46"/>
        </w:numPr>
        <w:spacing w:line="240" w:lineRule="auto"/>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电池系统</w:t>
      </w:r>
      <w:r>
        <w:rPr>
          <w:rFonts w:ascii="Times New Roman" w:hAnsi="Times New Roman"/>
          <w:color w:val="000000" w:themeColor="text1"/>
          <w:szCs w:val="21"/>
          <w14:textFill>
            <w14:solidFill>
              <w14:schemeClr w14:val="tx1"/>
            </w14:solidFill>
          </w14:textFill>
        </w:rPr>
        <w:t>SOH</w:t>
      </w:r>
      <w:r>
        <w:rPr>
          <w:rFonts w:hint="eastAsia" w:cs="宋体"/>
          <w:color w:val="000000" w:themeColor="text1"/>
          <w:szCs w:val="21"/>
          <w14:textFill>
            <w14:solidFill>
              <w14:schemeClr w14:val="tx1"/>
            </w14:solidFill>
          </w14:textFill>
        </w:rPr>
        <w:t>；</w:t>
      </w:r>
    </w:p>
    <w:p w14:paraId="63BD3FB8">
      <w:pPr>
        <w:pStyle w:val="58"/>
        <w:numPr>
          <w:ilvl w:val="0"/>
          <w:numId w:val="46"/>
        </w:numPr>
        <w:spacing w:line="240" w:lineRule="auto"/>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电池系统能量流动状态（充电和放电过程）。</w:t>
      </w:r>
    </w:p>
    <w:p w14:paraId="600730F1">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BMS应在就地及船舶经常有人值班处所设置下列分项视觉和听觉报警（包含但不限于）：</w:t>
      </w:r>
    </w:p>
    <w:p w14:paraId="57B33E8E">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蓄电池单体电压过压、欠压；</w:t>
      </w:r>
    </w:p>
    <w:p w14:paraId="4D8B8055">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蓄电池串联回路电流过流；</w:t>
      </w:r>
    </w:p>
    <w:p w14:paraId="7A46756C">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蓄电池单体温度高；</w:t>
      </w:r>
    </w:p>
    <w:p w14:paraId="7E6B8A1E">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环境温度过高/过低；</w:t>
      </w:r>
    </w:p>
    <w:p w14:paraId="6DB5E6B3">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电气绝缘电阻低；</w:t>
      </w:r>
    </w:p>
    <w:p w14:paraId="432AEDD5">
      <w:pPr>
        <w:pStyle w:val="58"/>
        <w:numPr>
          <w:ilvl w:val="0"/>
          <w:numId w:val="47"/>
        </w:numPr>
        <w:spacing w:line="240" w:lineRule="auto"/>
        <w:rPr>
          <w:rFonts w:hint="eastAsia" w:cs="宋体"/>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SOC</w:t>
      </w:r>
      <w:r>
        <w:rPr>
          <w:rFonts w:cs="宋体"/>
          <w:color w:val="000000" w:themeColor="text1"/>
          <w:szCs w:val="21"/>
          <w14:textFill>
            <w14:solidFill>
              <w14:schemeClr w14:val="tx1"/>
            </w14:solidFill>
          </w14:textFill>
        </w:rPr>
        <w:t>低；</w:t>
      </w:r>
    </w:p>
    <w:p w14:paraId="6B6A2F06">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过流保护；</w:t>
      </w:r>
    </w:p>
    <w:p w14:paraId="25ED82E7">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过充过放保护；</w:t>
      </w:r>
    </w:p>
    <w:p w14:paraId="242416F7">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过高温保护；</w:t>
      </w:r>
    </w:p>
    <w:p w14:paraId="1BDC509A">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蓄电池箱（柜）温度调节装置故障（如有时）；</w:t>
      </w:r>
    </w:p>
    <w:p w14:paraId="5F9A4B46">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蓄电池箱（柜）应急排气故障（如有时）；</w:t>
      </w:r>
    </w:p>
    <w:p w14:paraId="38AFCC96">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保护功能故障；</w:t>
      </w:r>
    </w:p>
    <w:p w14:paraId="1B444E7B">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温度检测故障；</w:t>
      </w:r>
    </w:p>
    <w:p w14:paraId="2BAC166F">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充电故障；</w:t>
      </w:r>
    </w:p>
    <w:p w14:paraId="629B355E">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蓄电池单体或蓄电池模块间的电压或</w:t>
      </w:r>
      <w:r>
        <w:rPr>
          <w:rFonts w:ascii="Times New Roman" w:hAnsi="Times New Roman"/>
          <w:color w:val="000000" w:themeColor="text1"/>
          <w:szCs w:val="21"/>
          <w14:textFill>
            <w14:solidFill>
              <w14:schemeClr w14:val="tx1"/>
            </w14:solidFill>
          </w14:textFill>
        </w:rPr>
        <w:t>SOC</w:t>
      </w:r>
      <w:r>
        <w:rPr>
          <w:rFonts w:cs="宋体"/>
          <w:color w:val="000000" w:themeColor="text1"/>
          <w:szCs w:val="21"/>
          <w14:textFill>
            <w14:solidFill>
              <w14:schemeClr w14:val="tx1"/>
            </w14:solidFill>
          </w14:textFill>
        </w:rPr>
        <w:t>不平衡；</w:t>
      </w:r>
    </w:p>
    <w:p w14:paraId="24FD11D1">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电池系统因故障停止运行；</w:t>
      </w:r>
    </w:p>
    <w:p w14:paraId="7E301A57">
      <w:pPr>
        <w:pStyle w:val="58"/>
        <w:numPr>
          <w:ilvl w:val="0"/>
          <w:numId w:val="47"/>
        </w:numPr>
        <w:spacing w:line="240" w:lineRule="auto"/>
        <w:rPr>
          <w:rFonts w:hint="eastAsia"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电池断路器/继电器不正常动作；</w:t>
      </w:r>
    </w:p>
    <w:p w14:paraId="689EE29D">
      <w:pPr>
        <w:pStyle w:val="58"/>
        <w:numPr>
          <w:ilvl w:val="0"/>
          <w:numId w:val="47"/>
        </w:numPr>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BMS</w:t>
      </w:r>
      <w:r>
        <w:rPr>
          <w:rFonts w:ascii="Times New Roman"/>
          <w:color w:val="000000" w:themeColor="text1"/>
          <w:szCs w:val="21"/>
          <w14:textFill>
            <w14:solidFill>
              <w14:schemeClr w14:val="tx1"/>
            </w14:solidFill>
          </w14:textFill>
        </w:rPr>
        <w:t>与</w:t>
      </w:r>
      <w:r>
        <w:rPr>
          <w:rFonts w:ascii="Times New Roman" w:hAnsi="Times New Roman"/>
          <w:color w:val="000000" w:themeColor="text1"/>
          <w:szCs w:val="21"/>
          <w14:textFill>
            <w14:solidFill>
              <w14:schemeClr w14:val="tx1"/>
            </w14:solidFill>
          </w14:textFill>
        </w:rPr>
        <w:t>PMS/EMS/AMS</w:t>
      </w:r>
      <w:r>
        <w:rPr>
          <w:rFonts w:ascii="Times New Roman"/>
          <w:color w:val="000000" w:themeColor="text1"/>
          <w:szCs w:val="21"/>
          <w14:textFill>
            <w14:solidFill>
              <w14:schemeClr w14:val="tx1"/>
            </w14:solidFill>
          </w14:textFill>
        </w:rPr>
        <w:t>通信失败。</w:t>
      </w:r>
    </w:p>
    <w:p w14:paraId="5E6E3807">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可能引起电池（子）系统停止运行的电池故障应在其达到极限状态之前发出预报警。</w:t>
      </w:r>
    </w:p>
    <w:p w14:paraId="08DB23DB">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BMS应至少具有以下控制及安全保护功能，除（1）、（2）外，应在执行相应保护动作时发出视觉和听觉报警：</w:t>
      </w:r>
    </w:p>
    <w:p w14:paraId="107BCA62">
      <w:pPr>
        <w:pStyle w:val="58"/>
        <w:numPr>
          <w:ilvl w:val="0"/>
          <w:numId w:val="48"/>
        </w:numPr>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对电池的充、放电及其充放电设备进行控制；</w:t>
      </w:r>
    </w:p>
    <w:p w14:paraId="64510F51">
      <w:pPr>
        <w:pStyle w:val="58"/>
        <w:numPr>
          <w:ilvl w:val="0"/>
          <w:numId w:val="48"/>
        </w:numPr>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对蓄电池单体间、蓄电池模块间的均衡进行控制；</w:t>
      </w:r>
    </w:p>
    <w:p w14:paraId="1E8761D5">
      <w:pPr>
        <w:pStyle w:val="58"/>
        <w:numPr>
          <w:ilvl w:val="0"/>
          <w:numId w:val="48"/>
        </w:numPr>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过流保护；</w:t>
      </w:r>
    </w:p>
    <w:p w14:paraId="1B62FD99">
      <w:pPr>
        <w:pStyle w:val="58"/>
        <w:numPr>
          <w:ilvl w:val="0"/>
          <w:numId w:val="48"/>
        </w:numPr>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过充过放保护；</w:t>
      </w:r>
    </w:p>
    <w:p w14:paraId="099D2AB4">
      <w:pPr>
        <w:pStyle w:val="58"/>
        <w:numPr>
          <w:ilvl w:val="0"/>
          <w:numId w:val="48"/>
        </w:numPr>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过高温保护（蓄电池单体温度、环境温度）；</w:t>
      </w:r>
    </w:p>
    <w:p w14:paraId="476D664D">
      <w:pPr>
        <w:pStyle w:val="58"/>
        <w:numPr>
          <w:ilvl w:val="0"/>
          <w:numId w:val="48"/>
        </w:numPr>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自检功能故障保护。</w:t>
      </w:r>
    </w:p>
    <w:p w14:paraId="56D8B699">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BMS应能与充电设备进行通信，并应检测充电插座电池端的温度，用于实现充电接口的温度监测和过高温保护功能。当环境温度过低时，BMS应能限制充电。</w:t>
      </w:r>
    </w:p>
    <w:p w14:paraId="54CD873C">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BMS应当具备校准功能。</w:t>
      </w:r>
    </w:p>
    <w:p w14:paraId="154B6CD5">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BMS应有通信连续性检测功能。</w:t>
      </w:r>
    </w:p>
    <w:p w14:paraId="1FCC24D9">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BMS应当具有自检功能。当出现保护功能故障和温度检测故障时，电池系统应停止运行；当出现充电故障时，BMS应控制充电设备停止充电。</w:t>
      </w:r>
    </w:p>
    <w:p w14:paraId="3E9FFBA7">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在蓄电池未工作期间，BMS应至少能够对蓄电池单体温度、环境温度进行测量和显示，并在温度异常时能在就地及远程（通过船舶管理系统在船舶经常有人值班处所）发出视觉和听觉报警。</w:t>
      </w:r>
    </w:p>
    <w:p w14:paraId="5B5C0B43">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对于箱式电源，其</w:t>
      </w:r>
      <w:r>
        <w:rPr>
          <w:snapToGrid w:val="0"/>
          <w:color w:val="000000" w:themeColor="text1"/>
          <w14:textFill>
            <w14:solidFill>
              <w14:schemeClr w14:val="tx1"/>
            </w14:solidFill>
          </w14:textFill>
        </w:rPr>
        <w:t>BMS</w:t>
      </w:r>
      <w:r>
        <w:rPr>
          <w:rFonts w:hint="eastAsia"/>
          <w:snapToGrid w:val="0"/>
          <w:color w:val="000000" w:themeColor="text1"/>
          <w14:textFill>
            <w14:solidFill>
              <w14:schemeClr w14:val="tx1"/>
            </w14:solidFill>
          </w14:textFill>
        </w:rPr>
        <w:t>还应能在吊装、运输、岸基充电和储存期间对蓄电池单体温度、环境温度进行测量和显示，并在温度异常时能</w:t>
      </w:r>
      <w:r>
        <w:rPr>
          <w:rFonts w:hint="eastAsia"/>
          <w:color w:val="000000" w:themeColor="text1"/>
          <w14:textFill>
            <w14:solidFill>
              <w14:schemeClr w14:val="tx1"/>
            </w14:solidFill>
          </w14:textFill>
        </w:rPr>
        <w:t>就地</w:t>
      </w:r>
      <w:r>
        <w:rPr>
          <w:rFonts w:hint="eastAsia"/>
          <w:snapToGrid w:val="0"/>
          <w:color w:val="000000" w:themeColor="text1"/>
          <w14:textFill>
            <w14:solidFill>
              <w14:schemeClr w14:val="tx1"/>
            </w14:solidFill>
          </w14:textFill>
        </w:rPr>
        <w:t>发出视觉和听觉报警。当箱式电源位于船端时，该报警应能延伸至经常有人值班处所。</w:t>
      </w:r>
    </w:p>
    <w:p w14:paraId="65C081C9">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77" w:name="_Toc167869223"/>
      <w:r>
        <w:rPr>
          <w:rFonts w:hint="eastAsia" w:ascii="Times New Roman" w:hAnsi="Times New Roman"/>
          <w:color w:val="000000" w:themeColor="text1"/>
          <w14:textFill>
            <w14:solidFill>
              <w14:schemeClr w14:val="tx1"/>
            </w14:solidFill>
          </w14:textFill>
        </w:rPr>
        <w:t>温度监测</w:t>
      </w:r>
      <w:bookmarkEnd w:id="77"/>
    </w:p>
    <w:p w14:paraId="50E6E0A0">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一般要求</w:t>
      </w:r>
    </w:p>
    <w:p w14:paraId="2C422701">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应设置温度监测报警系统，以实现对蓄电池安装处所内的温度监测与报警。</w:t>
      </w:r>
    </w:p>
    <w:p w14:paraId="21056218">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蓄电池舱的温度监测与报警</w:t>
      </w:r>
    </w:p>
    <w:p w14:paraId="647665D0">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蓄电池舱内应设置温度监测报警系统，温度探测器的数量和位置应充分考虑处所的型式。当蓄电池舱内的温度高于设定值时，应能在</w:t>
      </w:r>
      <w:r>
        <w:rPr>
          <w:rFonts w:hint="eastAsia"/>
          <w:color w:val="000000" w:themeColor="text1"/>
          <w14:textFill>
            <w14:solidFill>
              <w14:schemeClr w14:val="tx1"/>
            </w14:solidFill>
          </w14:textFill>
        </w:rPr>
        <w:t>就地及</w:t>
      </w:r>
      <w:r>
        <w:rPr>
          <w:rFonts w:hint="eastAsia"/>
          <w:snapToGrid w:val="0"/>
          <w:color w:val="000000" w:themeColor="text1"/>
          <w14:textFill>
            <w14:solidFill>
              <w14:schemeClr w14:val="tx1"/>
            </w14:solidFill>
          </w14:textFill>
        </w:rPr>
        <w:t>经常有人值班处所发出视觉和听觉报警。</w:t>
      </w:r>
    </w:p>
    <w:p w14:paraId="428C5F38">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bCs/>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蓄电池箱（柜）的温度监测与报警</w:t>
      </w:r>
    </w:p>
    <w:p w14:paraId="0E18C566">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布置在开敞甲板上的蓄电池箱（柜），应设置温度监测报警系统，温度探测器的数量和位置应充分考虑蓄电池箱（柜）内结构型式。当蓄电池箱（柜）内的温度高于设定值时，应能在</w:t>
      </w:r>
      <w:r>
        <w:rPr>
          <w:rFonts w:hint="eastAsia"/>
          <w:color w:val="000000" w:themeColor="text1"/>
          <w14:textFill>
            <w14:solidFill>
              <w14:schemeClr w14:val="tx1"/>
            </w14:solidFill>
          </w14:textFill>
        </w:rPr>
        <w:t>就地及</w:t>
      </w:r>
      <w:r>
        <w:rPr>
          <w:rFonts w:hint="eastAsia"/>
          <w:snapToGrid w:val="0"/>
          <w:color w:val="000000" w:themeColor="text1"/>
          <w14:textFill>
            <w14:solidFill>
              <w14:schemeClr w14:val="tx1"/>
            </w14:solidFill>
          </w14:textFill>
        </w:rPr>
        <w:t>经常有人值班处所发出视觉和听觉报警。</w:t>
      </w:r>
    </w:p>
    <w:p w14:paraId="4B9E2AE2">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bCs/>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箱式电源的温度监测与报警</w:t>
      </w:r>
    </w:p>
    <w:p w14:paraId="66DA2B89">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箱式电源电池处所内应设置温度监测报警系统，温度探测器的数量和位置应充分考虑箱式电源内结构型式。当箱式电源电池处所内的温度高于设定值时，应能在</w:t>
      </w:r>
      <w:r>
        <w:rPr>
          <w:rFonts w:hint="eastAsia"/>
          <w:color w:val="000000" w:themeColor="text1"/>
          <w14:textFill>
            <w14:solidFill>
              <w14:schemeClr w14:val="tx1"/>
            </w14:solidFill>
          </w14:textFill>
        </w:rPr>
        <w:t>就地及经常有人值班处所（如在船端时）</w:t>
      </w:r>
      <w:r>
        <w:rPr>
          <w:rFonts w:hint="eastAsia"/>
          <w:snapToGrid w:val="0"/>
          <w:color w:val="000000" w:themeColor="text1"/>
          <w14:textFill>
            <w14:solidFill>
              <w14:schemeClr w14:val="tx1"/>
            </w14:solidFill>
          </w14:textFill>
        </w:rPr>
        <w:t>发出视觉和听觉报警。</w:t>
      </w:r>
    </w:p>
    <w:p w14:paraId="34FA9F88">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78" w:name="_Toc167869224"/>
      <w:r>
        <w:rPr>
          <w:rFonts w:hint="eastAsia" w:ascii="Times New Roman" w:hAnsi="Times New Roman"/>
          <w:color w:val="000000" w:themeColor="text1"/>
          <w14:textFill>
            <w14:solidFill>
              <w14:schemeClr w14:val="tx1"/>
            </w14:solidFill>
          </w14:textFill>
        </w:rPr>
        <w:t>可燃气体探测</w:t>
      </w:r>
      <w:bookmarkEnd w:id="78"/>
    </w:p>
    <w:p w14:paraId="394E0876">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eastAsia="黑体"/>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一般要求</w:t>
      </w:r>
    </w:p>
    <w:p w14:paraId="5DA4DF78">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应设置可燃气体探测报警系统，以实现对蓄电池安装处所内的可燃气体探测与报警。</w:t>
      </w:r>
    </w:p>
    <w:p w14:paraId="5DA468B7">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可燃气体探测报警系统应与蓄电池在热失控状态下产生的可燃气体成分相适应。可燃气体探测器的数量及布置位置应确保能及时探测到产生的可燃气体。</w:t>
      </w:r>
    </w:p>
    <w:p w14:paraId="5B754764">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可燃气体探测报警系统应由主电源和应急电源两路供电，两路电</w:t>
      </w:r>
      <w:r>
        <w:rPr>
          <w:rFonts w:hint="eastAsia"/>
          <w:color w:val="000000" w:themeColor="text1"/>
          <w14:textFill>
            <w14:solidFill>
              <w14:schemeClr w14:val="tx1"/>
            </w14:solidFill>
          </w14:textFill>
        </w:rPr>
        <w:t>源应能自动转换</w:t>
      </w:r>
      <w:r>
        <w:rPr>
          <w:rFonts w:hint="eastAsia"/>
          <w:snapToGrid w:val="0"/>
          <w:color w:val="000000" w:themeColor="text1"/>
          <w14:textFill>
            <w14:solidFill>
              <w14:schemeClr w14:val="tx1"/>
            </w14:solidFill>
          </w14:textFill>
        </w:rPr>
        <w:t>。</w:t>
      </w:r>
      <w:r>
        <w:rPr>
          <w:rFonts w:hint="eastAsia"/>
          <w:color w:val="000000" w:themeColor="text1"/>
          <w14:textFill>
            <w14:solidFill>
              <w14:schemeClr w14:val="tx1"/>
            </w14:solidFill>
          </w14:textFill>
        </w:rPr>
        <w:t>对于箱式电源，该</w:t>
      </w:r>
      <w:r>
        <w:rPr>
          <w:rFonts w:hint="eastAsia"/>
          <w:snapToGrid w:val="0"/>
          <w:color w:val="000000" w:themeColor="text1"/>
          <w14:textFill>
            <w14:solidFill>
              <w14:schemeClr w14:val="tx1"/>
            </w14:solidFill>
          </w14:textFill>
        </w:rPr>
        <w:t>系统</w:t>
      </w:r>
      <w:r>
        <w:rPr>
          <w:rFonts w:hint="eastAsia"/>
          <w:color w:val="000000" w:themeColor="text1"/>
          <w14:textFill>
            <w14:solidFill>
              <w14:schemeClr w14:val="tx1"/>
            </w14:solidFill>
          </w14:textFill>
        </w:rPr>
        <w:t>应至少由两路供电，其中一路电源应由除本箱体主电源以外的其他电源系统供电，且供电时间满足本局对船舶航行水域适用的规则对应急电源供电时间的要求</w:t>
      </w:r>
      <w:r>
        <w:rPr>
          <w:rFonts w:hint="eastAsia"/>
          <w:snapToGrid w:val="0"/>
          <w:color w:val="000000" w:themeColor="text1"/>
          <w14:textFill>
            <w14:solidFill>
              <w14:schemeClr w14:val="tx1"/>
            </w14:solidFill>
          </w14:textFill>
        </w:rPr>
        <w:t>。</w:t>
      </w:r>
    </w:p>
    <w:p w14:paraId="3298FE55">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eastAsia="黑体"/>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蓄电池舱的可燃气体探测与报警</w:t>
      </w:r>
    </w:p>
    <w:p w14:paraId="61C881F8">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蓄电池</w:t>
      </w:r>
      <w:r>
        <w:rPr>
          <w:rFonts w:hint="eastAsia"/>
          <w:color w:val="000000" w:themeColor="text1"/>
          <w14:textFill>
            <w14:solidFill>
              <w14:schemeClr w14:val="tx1"/>
            </w14:solidFill>
          </w14:textFill>
        </w:rPr>
        <w:t>舱应设置可燃气体探测</w:t>
      </w:r>
      <w:r>
        <w:rPr>
          <w:rFonts w:hint="eastAsia"/>
          <w:snapToGrid w:val="0"/>
          <w:color w:val="000000" w:themeColor="text1"/>
          <w14:textFill>
            <w14:solidFill>
              <w14:schemeClr w14:val="tx1"/>
            </w14:solidFill>
          </w14:textFill>
        </w:rPr>
        <w:t>报警系统</w:t>
      </w:r>
      <w:r>
        <w:rPr>
          <w:rFonts w:hint="eastAsia"/>
          <w:color w:val="000000" w:themeColor="text1"/>
          <w14:textFill>
            <w14:solidFill>
              <w14:schemeClr w14:val="tx1"/>
            </w14:solidFill>
          </w14:textFill>
        </w:rPr>
        <w:t>。该系统在探测到蓄电池舱内可燃气体浓度大于其爆炸下限（体积分数）的20%时，应</w:t>
      </w:r>
      <w:r>
        <w:rPr>
          <w:rFonts w:hint="eastAsia" w:ascii="宋体" w:hAnsi="宋体" w:cs="仿宋"/>
          <w:color w:val="000000" w:themeColor="text1"/>
          <w:szCs w:val="21"/>
          <w14:textFill>
            <w14:solidFill>
              <w14:schemeClr w14:val="tx1"/>
            </w14:solidFill>
          </w14:textFill>
        </w:rPr>
        <w:t>能</w:t>
      </w:r>
      <w:r>
        <w:rPr>
          <w:rFonts w:hint="eastAsia"/>
          <w:color w:val="000000" w:themeColor="text1"/>
          <w14:textFill>
            <w14:solidFill>
              <w14:schemeClr w14:val="tx1"/>
            </w14:solidFill>
          </w14:textFill>
        </w:rPr>
        <w:t>在就地及经常有人值班处所发出视觉和听觉报警，同时自动启动本规则</w:t>
      </w:r>
      <w:r>
        <w:rPr>
          <w:rFonts w:hint="eastAsia"/>
          <w:color w:val="000000" w:themeColor="text1"/>
          <w:szCs w:val="21"/>
          <w14:textFill>
            <w14:solidFill>
              <w14:schemeClr w14:val="tx1"/>
            </w14:solidFill>
          </w14:textFill>
        </w:rPr>
        <w:t>第7章7.2.2所述的</w:t>
      </w:r>
      <w:r>
        <w:rPr>
          <w:rFonts w:hint="eastAsia"/>
          <w:color w:val="000000" w:themeColor="text1"/>
          <w14:textFill>
            <w14:solidFill>
              <w14:schemeClr w14:val="tx1"/>
            </w14:solidFill>
          </w14:textFill>
        </w:rPr>
        <w:t>应急排气系统，并对蓄电池舱内所有非防爆型电气设备断电。</w:t>
      </w:r>
    </w:p>
    <w:p w14:paraId="178E961E">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蓄电池箱（柜）的可燃气体探测与报警</w:t>
      </w:r>
    </w:p>
    <w:p w14:paraId="54EC89C4">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color w:val="000000" w:themeColor="text1"/>
          <w14:textFill>
            <w14:solidFill>
              <w14:schemeClr w14:val="tx1"/>
            </w14:solidFill>
          </w14:textFill>
        </w:rPr>
        <w:t>布置在开敞甲板上的蓄电池箱（柜）</w:t>
      </w:r>
      <w:r>
        <w:rPr>
          <w:rFonts w:hint="eastAsia"/>
          <w:snapToGrid w:val="0"/>
          <w:color w:val="000000" w:themeColor="text1"/>
          <w14:textFill>
            <w14:solidFill>
              <w14:schemeClr w14:val="tx1"/>
            </w14:solidFill>
          </w14:textFill>
        </w:rPr>
        <w:t>，应设置可燃气体探测报警系统。当探测到蓄电池箱（柜）内可燃气体浓度大于其</w:t>
      </w:r>
      <w:r>
        <w:rPr>
          <w:rFonts w:hint="eastAsia"/>
          <w:color w:val="000000" w:themeColor="text1"/>
          <w:szCs w:val="21"/>
          <w14:textFill>
            <w14:solidFill>
              <w14:schemeClr w14:val="tx1"/>
            </w14:solidFill>
          </w14:textFill>
        </w:rPr>
        <w:t>爆炸下限（体积分数）的20%时，应在就地及经常有人值班处所发出视觉和听觉报警，同时自动启动</w:t>
      </w:r>
      <w:r>
        <w:rPr>
          <w:rFonts w:hint="eastAsia"/>
          <w:color w:val="000000" w:themeColor="text1"/>
          <w14:textFill>
            <w14:solidFill>
              <w14:schemeClr w14:val="tx1"/>
            </w14:solidFill>
          </w14:textFill>
        </w:rPr>
        <w:t>本规则</w:t>
      </w:r>
      <w:r>
        <w:rPr>
          <w:rFonts w:hint="eastAsia"/>
          <w:color w:val="000000" w:themeColor="text1"/>
          <w:szCs w:val="21"/>
          <w14:textFill>
            <w14:solidFill>
              <w14:schemeClr w14:val="tx1"/>
            </w14:solidFill>
          </w14:textFill>
        </w:rPr>
        <w:t>第7章</w:t>
      </w:r>
      <w:r>
        <w:rPr>
          <w:color w:val="000000" w:themeColor="text1"/>
          <w:szCs w:val="21"/>
          <w14:textFill>
            <w14:solidFill>
              <w14:schemeClr w14:val="tx1"/>
            </w14:solidFill>
          </w14:textFill>
        </w:rPr>
        <w:t>7.</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所述的应急排气系统，并对箱（柜）内所有非防爆型电气设备断电。</w:t>
      </w:r>
    </w:p>
    <w:p w14:paraId="36DE7BDB">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color w:val="000000" w:themeColor="text1"/>
          <w:szCs w:val="21"/>
          <w14:textFill>
            <w14:solidFill>
              <w14:schemeClr w14:val="tx1"/>
            </w14:solidFill>
          </w14:textFill>
        </w:rPr>
        <w:t>如蓄电池包内已设有可燃气体探测器，并满足本节</w:t>
      </w:r>
      <w:r>
        <w:rPr>
          <w:color w:val="000000" w:themeColor="text1"/>
          <w:szCs w:val="21"/>
          <w14:textFill>
            <w14:solidFill>
              <w14:schemeClr w14:val="tx1"/>
            </w14:solidFill>
          </w14:textFill>
        </w:rPr>
        <w:t>6.5.3.1</w:t>
      </w:r>
      <w:r>
        <w:rPr>
          <w:rFonts w:hint="eastAsia"/>
          <w:color w:val="000000" w:themeColor="text1"/>
          <w:szCs w:val="21"/>
          <w14:textFill>
            <w14:solidFill>
              <w14:schemeClr w14:val="tx1"/>
            </w14:solidFill>
          </w14:textFill>
        </w:rPr>
        <w:t>要求的报警和安全动作时，则蓄电池箱（柜）可不必设可燃气体探测报警系统。</w:t>
      </w:r>
    </w:p>
    <w:p w14:paraId="34117177">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箱式电源的可燃气体探测与报警</w:t>
      </w:r>
    </w:p>
    <w:p w14:paraId="5A68E91D">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rFonts w:hint="eastAsia"/>
          <w:color w:val="000000" w:themeColor="text1"/>
          <w14:textFill>
            <w14:solidFill>
              <w14:schemeClr w14:val="tx1"/>
            </w14:solidFill>
          </w14:textFill>
        </w:rPr>
        <w:t>箱式电源电池处所内应设置可燃气体探测报警系统。该系统在探测到电池处所内可燃气体浓度大于其爆炸下限（体积分数）的</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时，应能在就地、经常有人值班处所（如在船端时）发出视觉和听觉报警，同时自动启动本规则</w:t>
      </w:r>
      <w:r>
        <w:rPr>
          <w:rFonts w:hint="eastAsia"/>
          <w:color w:val="000000" w:themeColor="text1"/>
          <w:szCs w:val="21"/>
          <w14:textFill>
            <w14:solidFill>
              <w14:schemeClr w14:val="tx1"/>
            </w14:solidFill>
          </w14:textFill>
        </w:rPr>
        <w:t>第</w:t>
      </w:r>
      <w:r>
        <w:rPr>
          <w:color w:val="000000" w:themeColor="text1"/>
          <w:szCs w:val="21"/>
          <w14:textFill>
            <w14:solidFill>
              <w14:schemeClr w14:val="tx1"/>
            </w14:solidFill>
          </w14:textFill>
        </w:rPr>
        <w:t>7</w:t>
      </w:r>
      <w:r>
        <w:rPr>
          <w:rFonts w:hint="eastAsia"/>
          <w:color w:val="000000" w:themeColor="text1"/>
          <w:szCs w:val="21"/>
          <w14:textFill>
            <w14:solidFill>
              <w14:schemeClr w14:val="tx1"/>
            </w14:solidFill>
          </w14:textFill>
        </w:rPr>
        <w:t>章</w:t>
      </w:r>
      <w:r>
        <w:rPr>
          <w:color w:val="000000" w:themeColor="text1"/>
          <w:szCs w:val="21"/>
          <w14:textFill>
            <w14:solidFill>
              <w14:schemeClr w14:val="tx1"/>
            </w14:solidFill>
          </w14:textFill>
        </w:rPr>
        <w:t>7.</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4所述的</w:t>
      </w:r>
      <w:r>
        <w:rPr>
          <w:rFonts w:hint="eastAsia"/>
          <w:color w:val="000000" w:themeColor="text1"/>
          <w14:textFill>
            <w14:solidFill>
              <w14:schemeClr w14:val="tx1"/>
            </w14:solidFill>
          </w14:textFill>
        </w:rPr>
        <w:t>应急排气系统，并自动切断电池处所内所有非防爆型电气设备。</w:t>
      </w:r>
    </w:p>
    <w:p w14:paraId="7764AFE3">
      <w:pPr>
        <w:pStyle w:val="39"/>
        <w:keepNext w:val="0"/>
        <w:keepLines w:val="0"/>
        <w:pageBreakBefore w:val="0"/>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27A4FE37">
      <w:pPr>
        <w:pStyle w:val="39"/>
        <w:keepNext w:val="0"/>
        <w:keepLines w:val="0"/>
        <w:numPr>
          <w:ilvl w:val="0"/>
          <w:numId w:val="39"/>
        </w:numPr>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pPr>
      <w:bookmarkStart w:id="79" w:name="_Toc167869225"/>
      <w:r>
        <w:rPr>
          <w:rFonts w:hint="eastAsia" w:ascii="Times New Roman" w:hAnsi="Times New Roman" w:cs="Times New Roman"/>
          <w:color w:val="000000" w:themeColor="text1"/>
          <w14:textFill>
            <w14:solidFill>
              <w14:schemeClr w14:val="tx1"/>
            </w14:solidFill>
          </w14:textFill>
        </w:rPr>
        <w:t>温度控制、排气与排水</w:t>
      </w:r>
      <w:bookmarkEnd w:id="79"/>
    </w:p>
    <w:p w14:paraId="27456768">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80" w:name="_Toc167869226"/>
      <w:r>
        <w:rPr>
          <w:rFonts w:hint="eastAsia" w:ascii="Times New Roman" w:hAnsi="Times New Roman"/>
          <w:color w:val="000000" w:themeColor="text1"/>
          <w14:textFill>
            <w14:solidFill>
              <w14:schemeClr w14:val="tx1"/>
            </w14:solidFill>
          </w14:textFill>
        </w:rPr>
        <w:t>温度控制</w:t>
      </w:r>
      <w:bookmarkEnd w:id="80"/>
    </w:p>
    <w:p w14:paraId="1975D024">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bookmarkStart w:id="81" w:name="_Toc128424095"/>
      <w:r>
        <w:rPr>
          <w:rFonts w:hint="eastAsia" w:ascii="黑体" w:hAnsi="黑体" w:eastAsia="黑体"/>
          <w:color w:val="000000" w:themeColor="text1"/>
          <w14:textFill>
            <w14:solidFill>
              <w14:schemeClr w14:val="tx1"/>
            </w14:solidFill>
          </w14:textFill>
        </w:rPr>
        <w:t>一般要求</w:t>
      </w:r>
    </w:p>
    <w:p w14:paraId="19858786">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蓄电池</w:t>
      </w:r>
      <w:r>
        <w:rPr>
          <w:rFonts w:hint="eastAsia"/>
          <w:color w:val="000000" w:themeColor="text1"/>
          <w14:textFill>
            <w14:solidFill>
              <w14:schemeClr w14:val="tx1"/>
            </w14:solidFill>
          </w14:textFill>
        </w:rPr>
        <w:t>安装处所内的</w:t>
      </w:r>
      <w:r>
        <w:rPr>
          <w:color w:val="000000" w:themeColor="text1"/>
          <w14:textFill>
            <w14:solidFill>
              <w14:schemeClr w14:val="tx1"/>
            </w14:solidFill>
          </w14:textFill>
        </w:rPr>
        <w:t>环境应能可控，环境温度应根据厂家的推荐值确定。</w:t>
      </w:r>
    </w:p>
    <w:p w14:paraId="03D77A28">
      <w:pPr>
        <w:pStyle w:val="53"/>
        <w:numPr>
          <w:ilvl w:val="3"/>
          <w:numId w:val="39"/>
        </w:numPr>
        <w:spacing w:line="240" w:lineRule="auto"/>
        <w:ind w:left="0" w:firstLine="420" w:firstLineChars="200"/>
        <w:rPr>
          <w:rFonts w:hint="eastAsia" w:ascii="黑体" w:hAnsi="黑体" w:eastAsia="黑体"/>
          <w:color w:val="000000" w:themeColor="text1"/>
          <w14:textFill>
            <w14:solidFill>
              <w14:schemeClr w14:val="tx1"/>
            </w14:solidFill>
          </w14:textFill>
        </w:rPr>
      </w:pPr>
      <w:r>
        <w:rPr>
          <w:rFonts w:hint="eastAsia"/>
          <w:color w:val="000000" w:themeColor="text1"/>
          <w14:textFill>
            <w14:solidFill>
              <w14:schemeClr w14:val="tx1"/>
            </w14:solidFill>
          </w14:textFill>
        </w:rPr>
        <w:t>蓄电池安装处所内的环境温度在</w:t>
      </w:r>
      <w:r>
        <w:rPr>
          <w:color w:val="000000" w:themeColor="text1"/>
          <w14:textFill>
            <w14:solidFill>
              <w14:schemeClr w14:val="tx1"/>
            </w14:solidFill>
          </w14:textFill>
        </w:rPr>
        <w:t>0</w:t>
      </w:r>
      <w:r>
        <w:rPr>
          <w:rFonts w:hint="eastAsia" w:ascii="宋体" w:cs="宋体"/>
          <w:color w:val="000000" w:themeColor="text1"/>
          <w14:textFill>
            <w14:solidFill>
              <w14:schemeClr w14:val="tx1"/>
            </w14:solidFill>
          </w14:textFill>
        </w:rPr>
        <w:t>℃</w:t>
      </w:r>
      <w:r>
        <w:rPr>
          <w:color w:val="000000" w:themeColor="text1"/>
          <w14:textFill>
            <w14:solidFill>
              <w14:schemeClr w14:val="tx1"/>
            </w14:solidFill>
          </w14:textFill>
        </w:rPr>
        <w:t>及以下时，</w:t>
      </w:r>
      <w:r>
        <w:rPr>
          <w:rFonts w:hint="eastAsia"/>
          <w:color w:val="000000" w:themeColor="text1"/>
          <w14:textFill>
            <w14:solidFill>
              <w14:schemeClr w14:val="tx1"/>
            </w14:solidFill>
          </w14:textFill>
        </w:rPr>
        <w:t>应根据蓄电池充放电能力</w:t>
      </w:r>
      <w:r>
        <w:rPr>
          <w:color w:val="000000" w:themeColor="text1"/>
          <w14:textFill>
            <w14:solidFill>
              <w14:schemeClr w14:val="tx1"/>
            </w14:solidFill>
          </w14:textFill>
        </w:rPr>
        <w:t>设置加热装置</w:t>
      </w:r>
      <w:r>
        <w:rPr>
          <w:rFonts w:hint="eastAsia"/>
          <w:color w:val="000000" w:themeColor="text1"/>
          <w14:textFill>
            <w14:solidFill>
              <w14:schemeClr w14:val="tx1"/>
            </w14:solidFill>
          </w14:textFill>
        </w:rPr>
        <w:t>。蓄电池单体的温度达到设置温度（推荐值1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℃）时，加热装置应停止加热。</w:t>
      </w:r>
    </w:p>
    <w:p w14:paraId="60E1F997">
      <w:pPr>
        <w:pStyle w:val="53"/>
        <w:numPr>
          <w:ilvl w:val="3"/>
          <w:numId w:val="39"/>
        </w:numPr>
        <w:spacing w:line="240" w:lineRule="auto"/>
        <w:ind w:left="0" w:firstLine="420" w:firstLineChars="200"/>
        <w:rPr>
          <w:rFonts w:hint="eastAsia" w:ascii="黑体" w:hAnsi="黑体" w:eastAsia="黑体"/>
          <w:color w:val="000000" w:themeColor="text1"/>
          <w14:textFill>
            <w14:solidFill>
              <w14:schemeClr w14:val="tx1"/>
            </w14:solidFill>
          </w14:textFill>
        </w:rPr>
      </w:pPr>
      <w:r>
        <w:rPr>
          <w:rFonts w:hint="eastAsia"/>
          <w:color w:val="000000" w:themeColor="text1"/>
          <w14:textFill>
            <w14:solidFill>
              <w14:schemeClr w14:val="tx1"/>
            </w14:solidFill>
          </w14:textFill>
        </w:rPr>
        <w:t>蓄电池安装处所内应设有</w:t>
      </w:r>
      <w:r>
        <w:rPr>
          <w:color w:val="000000" w:themeColor="text1"/>
          <w14:textFill>
            <w14:solidFill>
              <w14:schemeClr w14:val="tx1"/>
            </w14:solidFill>
          </w14:textFill>
        </w:rPr>
        <w:t>温度调节装置</w:t>
      </w:r>
      <w:r>
        <w:rPr>
          <w:rFonts w:hint="eastAsia"/>
          <w:color w:val="000000" w:themeColor="text1"/>
          <w14:textFill>
            <w14:solidFill>
              <w14:schemeClr w14:val="tx1"/>
            </w14:solidFill>
          </w14:textFill>
        </w:rPr>
        <w:t>（如空调）</w:t>
      </w:r>
      <w:r>
        <w:rPr>
          <w:color w:val="000000" w:themeColor="text1"/>
          <w14:textFill>
            <w14:solidFill>
              <w14:schemeClr w14:val="tx1"/>
            </w14:solidFill>
          </w14:textFill>
        </w:rPr>
        <w:t>或机械通风系统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以</w:t>
      </w:r>
      <w:r>
        <w:rPr>
          <w:rFonts w:hint="eastAsia"/>
          <w:color w:val="000000" w:themeColor="text1"/>
          <w14:textFill>
            <w14:solidFill>
              <w14:schemeClr w14:val="tx1"/>
            </w14:solidFill>
          </w14:textFill>
        </w:rPr>
        <w:t>实现对</w:t>
      </w:r>
      <w:r>
        <w:rPr>
          <w:color w:val="000000" w:themeColor="text1"/>
          <w14:textFill>
            <w14:solidFill>
              <w14:schemeClr w14:val="tx1"/>
            </w14:solidFill>
          </w14:textFill>
        </w:rPr>
        <w:t>蓄电池周围环境温度</w:t>
      </w:r>
      <w:r>
        <w:rPr>
          <w:rFonts w:hint="eastAsia"/>
          <w:color w:val="000000" w:themeColor="text1"/>
          <w14:textFill>
            <w14:solidFill>
              <w14:schemeClr w14:val="tx1"/>
            </w14:solidFill>
          </w14:textFill>
        </w:rPr>
        <w:t>的控制。</w:t>
      </w:r>
      <w:r>
        <w:rPr>
          <w:color w:val="000000" w:themeColor="text1"/>
          <w14:textFill>
            <w14:solidFill>
              <w14:schemeClr w14:val="tx1"/>
            </w14:solidFill>
          </w14:textFill>
        </w:rPr>
        <w:t>采用机械通风时</w:t>
      </w:r>
      <w:r>
        <w:rPr>
          <w:rFonts w:hint="eastAsia"/>
          <w:color w:val="000000" w:themeColor="text1"/>
          <w14:textFill>
            <w14:solidFill>
              <w14:schemeClr w14:val="tx1"/>
            </w14:solidFill>
          </w14:textFill>
        </w:rPr>
        <w:t>，该通风系统尚</w:t>
      </w:r>
      <w:r>
        <w:rPr>
          <w:color w:val="000000" w:themeColor="text1"/>
          <w14:textFill>
            <w14:solidFill>
              <w14:schemeClr w14:val="tx1"/>
            </w14:solidFill>
          </w14:textFill>
        </w:rPr>
        <w:t>应满足</w:t>
      </w:r>
      <w:r>
        <w:rPr>
          <w:rFonts w:hint="eastAsia"/>
          <w:color w:val="000000" w:themeColor="text1"/>
          <w14:textFill>
            <w14:solidFill>
              <w14:schemeClr w14:val="tx1"/>
            </w14:solidFill>
          </w14:textFill>
        </w:rPr>
        <w:t>本规则第8章8</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要求。</w:t>
      </w:r>
    </w:p>
    <w:p w14:paraId="22CCBC80">
      <w:pPr>
        <w:pStyle w:val="53"/>
        <w:numPr>
          <w:ilvl w:val="3"/>
          <w:numId w:val="39"/>
        </w:numPr>
        <w:spacing w:line="240" w:lineRule="auto"/>
        <w:ind w:left="0" w:firstLine="420" w:firstLineChars="200"/>
        <w:rPr>
          <w:rFonts w:hint="eastAsia" w:ascii="黑体" w:hAnsi="黑体" w:eastAsia="黑体"/>
          <w:color w:val="000000" w:themeColor="text1"/>
          <w14:textFill>
            <w14:solidFill>
              <w14:schemeClr w14:val="tx1"/>
            </w14:solidFill>
          </w14:textFill>
        </w:rPr>
      </w:pPr>
      <w:r>
        <w:rPr>
          <w:rFonts w:hint="eastAsia"/>
          <w:color w:val="000000" w:themeColor="text1"/>
          <w14:textFill>
            <w14:solidFill>
              <w14:schemeClr w14:val="tx1"/>
            </w14:solidFill>
          </w14:textFill>
        </w:rPr>
        <w:t>除本节要求外，</w:t>
      </w:r>
      <w:r>
        <w:rPr>
          <w:color w:val="000000" w:themeColor="text1"/>
          <w14:textFill>
            <w14:solidFill>
              <w14:schemeClr w14:val="tx1"/>
            </w14:solidFill>
          </w14:textFill>
        </w:rPr>
        <w:t>蓄电池</w:t>
      </w:r>
      <w:r>
        <w:rPr>
          <w:rFonts w:hint="eastAsia"/>
          <w:color w:val="000000" w:themeColor="text1"/>
          <w14:textFill>
            <w14:solidFill>
              <w14:schemeClr w14:val="tx1"/>
            </w14:solidFill>
          </w14:textFill>
        </w:rPr>
        <w:t>安装处所的温度控制尚应满足本局按规定程序认可和公布的中国船级社《船舶应用电池动力规范（</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）》及其修改通报第</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章第4节的相关要求。</w:t>
      </w:r>
    </w:p>
    <w:p w14:paraId="7157BA46">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蓄电池舱的</w:t>
      </w:r>
      <w:r>
        <w:rPr>
          <w:rFonts w:hint="eastAsia" w:ascii="黑体" w:hAnsi="黑体" w:eastAsia="黑体"/>
          <w:color w:val="000000" w:themeColor="text1"/>
          <w14:textFill>
            <w14:solidFill>
              <w14:schemeClr w14:val="tx1"/>
            </w14:solidFill>
          </w14:textFill>
        </w:rPr>
        <w:t>温度控制</w:t>
      </w:r>
      <w:bookmarkEnd w:id="81"/>
    </w:p>
    <w:p w14:paraId="41AAEAEE">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每一</w:t>
      </w:r>
      <w:r>
        <w:rPr>
          <w:color w:val="000000" w:themeColor="text1"/>
          <w14:textFill>
            <w14:solidFill>
              <w14:schemeClr w14:val="tx1"/>
            </w14:solidFill>
          </w14:textFill>
        </w:rPr>
        <w:t>蓄电池舱应</w:t>
      </w:r>
      <w:r>
        <w:rPr>
          <w:rFonts w:hint="eastAsia"/>
          <w:color w:val="000000" w:themeColor="text1"/>
          <w14:textFill>
            <w14:solidFill>
              <w14:schemeClr w14:val="tx1"/>
            </w14:solidFill>
          </w14:textFill>
        </w:rPr>
        <w:t>设置独立的</w:t>
      </w:r>
      <w:r>
        <w:rPr>
          <w:color w:val="000000" w:themeColor="text1"/>
          <w14:textFill>
            <w14:solidFill>
              <w14:schemeClr w14:val="tx1"/>
            </w14:solidFill>
          </w14:textFill>
        </w:rPr>
        <w:t>温度调节装置</w:t>
      </w:r>
      <w:r>
        <w:rPr>
          <w:rFonts w:hint="eastAsia"/>
          <w:color w:val="000000" w:themeColor="text1"/>
          <w14:textFill>
            <w14:solidFill>
              <w14:schemeClr w14:val="tx1"/>
            </w14:solidFill>
          </w14:textFill>
        </w:rPr>
        <w:t>或机械通风系统</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任一蓄电池舱</w:t>
      </w:r>
      <w:r>
        <w:rPr>
          <w:color w:val="000000" w:themeColor="text1"/>
          <w14:textFill>
            <w14:solidFill>
              <w14:schemeClr w14:val="tx1"/>
            </w14:solidFill>
          </w14:textFill>
        </w:rPr>
        <w:t>温度调节</w:t>
      </w:r>
      <w:r>
        <w:rPr>
          <w:rFonts w:hint="eastAsia"/>
          <w:color w:val="000000" w:themeColor="text1"/>
          <w14:textFill>
            <w14:solidFill>
              <w14:schemeClr w14:val="tx1"/>
            </w14:solidFill>
          </w14:textFill>
        </w:rPr>
        <w:t>或通风的失效不应影响其他蓄电池舱的</w:t>
      </w:r>
      <w:r>
        <w:rPr>
          <w:color w:val="000000" w:themeColor="text1"/>
          <w14:textFill>
            <w14:solidFill>
              <w14:schemeClr w14:val="tx1"/>
            </w14:solidFill>
          </w14:textFill>
        </w:rPr>
        <w:t>温度调节</w:t>
      </w:r>
      <w:r>
        <w:rPr>
          <w:rFonts w:hint="eastAsia"/>
          <w:color w:val="000000" w:themeColor="text1"/>
          <w14:textFill>
            <w14:solidFill>
              <w14:schemeClr w14:val="tx1"/>
            </w14:solidFill>
          </w14:textFill>
        </w:rPr>
        <w:t>或通风。</w:t>
      </w:r>
    </w:p>
    <w:p w14:paraId="2042612D">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采用机械通风时，除考虑蓄电池舱的正常通风外，尚应按厂家提供的方法进行电池热交换的机械通风计算，若厂家未提供计算方法，则按以下方法计算通风量。通风量</w:t>
      </w:r>
      <w:r>
        <w:rPr>
          <w:color w:val="000000" w:themeColor="text1"/>
          <w:position w:val="-10"/>
          <w14:textFill>
            <w14:solidFill>
              <w14:schemeClr w14:val="tx1"/>
            </w14:solidFill>
          </w14:textFill>
        </w:rPr>
        <w:object>
          <v:shape id="_x0000_i1025" o:spt="75" type="#_x0000_t75" style="height:15.7pt;width:10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color w:val="000000" w:themeColor="text1"/>
          <w14:textFill>
            <w14:solidFill>
              <w14:schemeClr w14:val="tx1"/>
            </w14:solidFill>
          </w14:textFill>
        </w:rPr>
        <w:t>不应小于下式计算所得之值：</w:t>
      </w:r>
    </w:p>
    <w:p w14:paraId="0DA7FCBB">
      <w:pPr>
        <w:pStyle w:val="48"/>
        <w:ind w:firstLine="0" w:firstLineChars="0"/>
        <w:jc w:val="center"/>
        <w:rPr>
          <w:rFonts w:hAnsi="Times New Roman"/>
          <w:color w:val="000000" w:themeColor="text1"/>
          <w:kern w:val="2"/>
          <w14:textFill>
            <w14:solidFill>
              <w14:schemeClr w14:val="tx1"/>
            </w14:solidFill>
          </w14:textFill>
        </w:rPr>
      </w:pPr>
      <w:r>
        <w:rPr>
          <w:rFonts w:hAnsi="Times New Roman"/>
          <w:color w:val="000000" w:themeColor="text1"/>
          <w14:textFill>
            <w14:solidFill>
              <w14:schemeClr w14:val="tx1"/>
            </w14:solidFill>
          </w14:textFill>
        </w:rPr>
        <w:drawing>
          <wp:inline distT="0" distB="0" distL="0" distR="0">
            <wp:extent cx="1638300" cy="238125"/>
            <wp:effectExtent l="1905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noChangeArrowheads="1"/>
                    </pic:cNvPicPr>
                  </pic:nvPicPr>
                  <pic:blipFill>
                    <a:blip r:embed="rId11" cstate="print"/>
                    <a:srcRect/>
                    <a:stretch>
                      <a:fillRect/>
                    </a:stretch>
                  </pic:blipFill>
                  <pic:spPr>
                    <a:xfrm>
                      <a:off x="0" y="0"/>
                      <a:ext cx="1638300" cy="238125"/>
                    </a:xfrm>
                    <a:prstGeom prst="rect">
                      <a:avLst/>
                    </a:prstGeom>
                    <a:noFill/>
                    <a:ln w="9525">
                      <a:noFill/>
                      <a:miter lim="800000"/>
                      <a:headEnd/>
                      <a:tailEnd/>
                    </a:ln>
                  </pic:spPr>
                </pic:pic>
              </a:graphicData>
            </a:graphic>
          </wp:inline>
        </w:drawing>
      </w:r>
      <w:r>
        <w:rPr>
          <w:rFonts w:hAnsi="Times New Roman"/>
          <w:color w:val="000000" w:themeColor="text1"/>
          <w:kern w:val="2"/>
          <w14:textFill>
            <w14:solidFill>
              <w14:schemeClr w14:val="tx1"/>
            </w14:solidFill>
          </w14:textFill>
        </w:rPr>
        <w:t>m</w:t>
      </w:r>
      <w:r>
        <w:rPr>
          <w:rFonts w:hAnsi="Times New Roman"/>
          <w:color w:val="000000" w:themeColor="text1"/>
          <w:kern w:val="2"/>
          <w:vertAlign w:val="superscript"/>
          <w14:textFill>
            <w14:solidFill>
              <w14:schemeClr w14:val="tx1"/>
            </w14:solidFill>
          </w14:textFill>
        </w:rPr>
        <w:t>3</w:t>
      </w:r>
      <w:r>
        <w:rPr>
          <w:rFonts w:hAnsi="Times New Roman"/>
          <w:color w:val="000000" w:themeColor="text1"/>
          <w:kern w:val="2"/>
          <w14:textFill>
            <w14:solidFill>
              <w14:schemeClr w14:val="tx1"/>
            </w14:solidFill>
          </w14:textFill>
        </w:rPr>
        <w:t>/h</w:t>
      </w:r>
    </w:p>
    <w:p w14:paraId="65F4AFBE">
      <w:pPr>
        <w:pStyle w:val="48"/>
        <w:ind w:firstLine="0" w:firstLineChars="0"/>
        <w:jc w:val="both"/>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式中：</w:t>
      </w:r>
      <w:r>
        <w:rPr>
          <w:rFonts w:hAnsi="Times New Roman"/>
          <w:color w:val="000000" w:themeColor="text1"/>
          <w:position w:val="-10"/>
          <w14:textFill>
            <w14:solidFill>
              <w14:schemeClr w14:val="tx1"/>
            </w14:solidFill>
          </w14:textFill>
        </w:rPr>
        <w:object>
          <v:shape id="_x0000_i1026" o:spt="75" type="#_x0000_t75" style="height:15.7pt;width:10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6" r:id="rId12">
            <o:LockedField>false</o:LockedField>
          </o:OLEObject>
        </w:object>
      </w:r>
      <w:r>
        <w:rPr>
          <w:rFonts w:hAnsi="Times New Roman"/>
          <w:color w:val="000000" w:themeColor="text1"/>
          <w14:textFill>
            <w14:solidFill>
              <w14:schemeClr w14:val="tx1"/>
            </w14:solidFill>
          </w14:textFill>
        </w:rPr>
        <w:t>——单个蓄电池模块工作时自身产生的发热量，W；</w:t>
      </w:r>
    </w:p>
    <w:p w14:paraId="258FABCA">
      <w:pPr>
        <w:pStyle w:val="48"/>
        <w:ind w:firstLine="630" w:firstLineChars="300"/>
        <w:jc w:val="both"/>
        <w:rPr>
          <w:rFonts w:hAnsi="Times New Roman"/>
          <w:color w:val="000000" w:themeColor="text1"/>
          <w14:textFill>
            <w14:solidFill>
              <w14:schemeClr w14:val="tx1"/>
            </w14:solidFill>
          </w14:textFill>
        </w:rPr>
      </w:pPr>
      <w:r>
        <w:rPr>
          <w:rFonts w:hAnsi="Times New Roman"/>
          <w:color w:val="000000" w:themeColor="text1"/>
          <w:position w:val="-12"/>
          <w14:textFill>
            <w14:solidFill>
              <w14:schemeClr w14:val="tx1"/>
            </w14:solidFill>
          </w14:textFill>
        </w:rPr>
        <w:drawing>
          <wp:inline distT="0" distB="0" distL="0" distR="0">
            <wp:extent cx="180975" cy="247650"/>
            <wp:effectExtent l="19050" t="0" r="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14" cstate="print"/>
                    <a:srcRect/>
                    <a:stretch>
                      <a:fillRect/>
                    </a:stretch>
                  </pic:blipFill>
                  <pic:spPr>
                    <a:xfrm>
                      <a:off x="0" y="0"/>
                      <a:ext cx="180975" cy="247650"/>
                    </a:xfrm>
                    <a:prstGeom prst="rect">
                      <a:avLst/>
                    </a:prstGeom>
                    <a:noFill/>
                    <a:ln w="9525">
                      <a:noFill/>
                      <a:miter lim="800000"/>
                      <a:headEnd/>
                      <a:tailEnd/>
                    </a:ln>
                  </pic:spPr>
                </pic:pic>
              </a:graphicData>
            </a:graphic>
          </wp:inline>
        </w:drawing>
      </w:r>
      <w:r>
        <w:rPr>
          <w:rFonts w:hAnsi="Times New Roman"/>
          <w:color w:val="000000" w:themeColor="text1"/>
          <w14:textFill>
            <w14:solidFill>
              <w14:schemeClr w14:val="tx1"/>
            </w14:solidFill>
          </w14:textFill>
        </w:rPr>
        <w:t>——其他热源发热量，W；</w:t>
      </w:r>
    </w:p>
    <w:p w14:paraId="2D17D1BA">
      <w:pPr>
        <w:pStyle w:val="48"/>
        <w:ind w:firstLine="630" w:firstLineChars="300"/>
        <w:jc w:val="both"/>
        <w:rPr>
          <w:rFonts w:hAnsi="Times New Roman"/>
          <w:color w:val="000000" w:themeColor="text1"/>
          <w14:textFill>
            <w14:solidFill>
              <w14:schemeClr w14:val="tx1"/>
            </w14:solidFill>
          </w14:textFill>
        </w:rPr>
      </w:pPr>
      <w:r>
        <w:rPr>
          <w:rFonts w:hAnsi="Times New Roman"/>
          <w:color w:val="000000" w:themeColor="text1"/>
          <w:position w:val="-6"/>
          <w14:textFill>
            <w14:solidFill>
              <w14:schemeClr w14:val="tx1"/>
            </w14:solidFill>
          </w14:textFill>
        </w:rPr>
        <w:drawing>
          <wp:inline distT="0" distB="0" distL="0" distR="0">
            <wp:extent cx="133350" cy="133350"/>
            <wp:effectExtent l="1905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15" cstate="print"/>
                    <a:srcRect/>
                    <a:stretch>
                      <a:fillRect/>
                    </a:stretch>
                  </pic:blipFill>
                  <pic:spPr>
                    <a:xfrm>
                      <a:off x="0" y="0"/>
                      <a:ext cx="133350" cy="133350"/>
                    </a:xfrm>
                    <a:prstGeom prst="rect">
                      <a:avLst/>
                    </a:prstGeom>
                    <a:noFill/>
                    <a:ln w="9525">
                      <a:noFill/>
                      <a:miter lim="800000"/>
                      <a:headEnd/>
                      <a:tailEnd/>
                    </a:ln>
                  </pic:spPr>
                </pic:pic>
              </a:graphicData>
            </a:graphic>
          </wp:inline>
        </w:drawing>
      </w:r>
      <w:r>
        <w:rPr>
          <w:rFonts w:hAnsi="Times New Roman"/>
          <w:color w:val="000000" w:themeColor="text1"/>
          <w14:textFill>
            <w14:solidFill>
              <w14:schemeClr w14:val="tx1"/>
            </w14:solidFill>
          </w14:textFill>
        </w:rPr>
        <w:t>——蓄电池模块总数；</w:t>
      </w:r>
    </w:p>
    <w:p w14:paraId="1827498A">
      <w:pPr>
        <w:pStyle w:val="48"/>
        <w:ind w:firstLine="630" w:firstLineChars="300"/>
        <w:jc w:val="both"/>
        <w:rPr>
          <w:rFonts w:hAnsi="Times New Roman"/>
          <w:color w:val="000000" w:themeColor="text1"/>
          <w14:textFill>
            <w14:solidFill>
              <w14:schemeClr w14:val="tx1"/>
            </w14:solidFill>
          </w14:textFill>
        </w:rPr>
      </w:pPr>
      <w:r>
        <w:rPr>
          <w:rFonts w:hAnsi="Times New Roman"/>
          <w:color w:val="000000" w:themeColor="text1"/>
          <w:position w:val="-6"/>
          <w14:textFill>
            <w14:solidFill>
              <w14:schemeClr w14:val="tx1"/>
            </w14:solidFill>
          </w14:textFill>
        </w:rPr>
        <w:drawing>
          <wp:inline distT="0" distB="0" distL="0" distR="0">
            <wp:extent cx="200025" cy="171450"/>
            <wp:effectExtent l="19050" t="0" r="9525"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noChangeArrowheads="1"/>
                    </pic:cNvPicPr>
                  </pic:nvPicPr>
                  <pic:blipFill>
                    <a:blip r:embed="rId16" cstate="print"/>
                    <a:srcRect/>
                    <a:stretch>
                      <a:fillRect/>
                    </a:stretch>
                  </pic:blipFill>
                  <pic:spPr>
                    <a:xfrm>
                      <a:off x="0" y="0"/>
                      <a:ext cx="200025" cy="171450"/>
                    </a:xfrm>
                    <a:prstGeom prst="rect">
                      <a:avLst/>
                    </a:prstGeom>
                    <a:noFill/>
                    <a:ln w="9525">
                      <a:noFill/>
                      <a:miter lim="800000"/>
                      <a:headEnd/>
                      <a:tailEnd/>
                    </a:ln>
                  </pic:spPr>
                </pic:pic>
              </a:graphicData>
            </a:graphic>
          </wp:inline>
        </w:drawing>
      </w:r>
      <w:r>
        <w:rPr>
          <w:rFonts w:hAnsi="Times New Roman"/>
          <w:color w:val="000000" w:themeColor="text1"/>
          <w14:textFill>
            <w14:solidFill>
              <w14:schemeClr w14:val="tx1"/>
            </w14:solidFill>
          </w14:textFill>
        </w:rPr>
        <w:t>——蓄电池舱</w:t>
      </w:r>
      <w:r>
        <w:rPr>
          <w:rFonts w:hint="eastAsia" w:hAnsi="Times New Roman"/>
          <w:bCs/>
          <w:snapToGrid w:val="0"/>
          <w:color w:val="000000" w:themeColor="text1"/>
          <w:szCs w:val="28"/>
          <w14:textFill>
            <w14:solidFill>
              <w14:schemeClr w14:val="tx1"/>
            </w14:solidFill>
          </w14:textFill>
        </w:rPr>
        <w:t>内温度</w:t>
      </w:r>
      <w:r>
        <w:rPr>
          <w:rFonts w:hAnsi="Times New Roman"/>
          <w:color w:val="000000" w:themeColor="text1"/>
          <w14:textFill>
            <w14:solidFill>
              <w14:schemeClr w14:val="tx1"/>
            </w14:solidFill>
          </w14:textFill>
        </w:rPr>
        <w:t>与外面空气的最高温度</w:t>
      </w:r>
      <w:r>
        <w:rPr>
          <w:rFonts w:hint="eastAsia" w:hAnsi="Times New Roman"/>
          <w:color w:val="000000" w:themeColor="text1"/>
          <w14:textFill>
            <w14:solidFill>
              <w14:schemeClr w14:val="tx1"/>
            </w14:solidFill>
          </w14:textFill>
        </w:rPr>
        <w:t>之</w:t>
      </w:r>
      <w:r>
        <w:rPr>
          <w:rFonts w:hAnsi="Times New Roman"/>
          <w:color w:val="000000" w:themeColor="text1"/>
          <w14:textFill>
            <w14:solidFill>
              <w14:schemeClr w14:val="tx1"/>
            </w14:solidFill>
          </w14:textFill>
        </w:rPr>
        <w:t>差，</w:t>
      </w:r>
      <w:r>
        <w:rPr>
          <w:rFonts w:hint="eastAsia" w:ascii="宋体" w:cs="宋体"/>
          <w:color w:val="000000" w:themeColor="text1"/>
          <w14:textFill>
            <w14:solidFill>
              <w14:schemeClr w14:val="tx1"/>
            </w14:solidFill>
          </w14:textFill>
        </w:rPr>
        <w:t>℃</w:t>
      </w:r>
      <w:r>
        <w:rPr>
          <w:rFonts w:hAnsi="Times New Roman"/>
          <w:color w:val="000000" w:themeColor="text1"/>
          <w14:textFill>
            <w14:solidFill>
              <w14:schemeClr w14:val="tx1"/>
            </w14:solidFill>
          </w14:textFill>
        </w:rPr>
        <w:t>；</w:t>
      </w:r>
      <w:r>
        <w:rPr>
          <w:rFonts w:hint="eastAsia" w:hAnsi="Times New Roman"/>
          <w:bCs/>
          <w:snapToGrid w:val="0"/>
          <w:color w:val="000000" w:themeColor="text1"/>
          <w:szCs w:val="28"/>
          <w14:textFill>
            <w14:solidFill>
              <w14:schemeClr w14:val="tx1"/>
            </w14:solidFill>
          </w14:textFill>
        </w:rPr>
        <w:t>最高温度取船舶航行水域可能出现的最高环境温度，但不超过</w:t>
      </w:r>
      <w:r>
        <w:rPr>
          <w:rFonts w:hAnsi="Times New Roman"/>
          <w:bCs/>
          <w:snapToGrid w:val="0"/>
          <w:color w:val="000000" w:themeColor="text1"/>
          <w:szCs w:val="28"/>
          <w14:textFill>
            <w14:solidFill>
              <w14:schemeClr w14:val="tx1"/>
            </w14:solidFill>
          </w14:textFill>
        </w:rPr>
        <w:t>45</w:t>
      </w:r>
      <w:r>
        <w:rPr>
          <w:rFonts w:hint="eastAsia" w:hAnsi="Times New Roman"/>
          <w:bCs/>
          <w:snapToGrid w:val="0"/>
          <w:color w:val="000000" w:themeColor="text1"/>
          <w:szCs w:val="28"/>
          <w14:textFill>
            <w14:solidFill>
              <w14:schemeClr w14:val="tx1"/>
            </w14:solidFill>
          </w14:textFill>
        </w:rPr>
        <w:t>°</w:t>
      </w:r>
      <w:r>
        <w:rPr>
          <w:rFonts w:hAnsi="Times New Roman"/>
          <w:bCs/>
          <w:snapToGrid w:val="0"/>
          <w:color w:val="000000" w:themeColor="text1"/>
          <w:szCs w:val="28"/>
          <w14:textFill>
            <w14:solidFill>
              <w14:schemeClr w14:val="tx1"/>
            </w14:solidFill>
          </w14:textFill>
        </w:rPr>
        <w:t>C</w:t>
      </w:r>
      <w:r>
        <w:rPr>
          <w:rFonts w:hint="eastAsia" w:hAnsi="Times New Roman"/>
          <w:bCs/>
          <w:snapToGrid w:val="0"/>
          <w:color w:val="000000" w:themeColor="text1"/>
          <w:szCs w:val="28"/>
          <w14:textFill>
            <w14:solidFill>
              <w14:schemeClr w14:val="tx1"/>
            </w14:solidFill>
          </w14:textFill>
        </w:rPr>
        <w:t>；</w:t>
      </w:r>
    </w:p>
    <w:p w14:paraId="3C860CAB">
      <w:pPr>
        <w:pStyle w:val="48"/>
        <w:ind w:firstLine="630" w:firstLineChars="300"/>
        <w:jc w:val="both"/>
        <w:rPr>
          <w:rFonts w:hAnsi="Times New Roman"/>
          <w:color w:val="000000" w:themeColor="text1"/>
          <w14:textFill>
            <w14:solidFill>
              <w14:schemeClr w14:val="tx1"/>
            </w14:solidFill>
          </w14:textFill>
        </w:rPr>
      </w:pPr>
      <w:r>
        <w:rPr>
          <w:rFonts w:hAnsi="Times New Roman"/>
          <w:color w:val="000000" w:themeColor="text1"/>
          <w:position w:val="-6"/>
          <w14:textFill>
            <w14:solidFill>
              <w14:schemeClr w14:val="tx1"/>
            </w14:solidFill>
          </w14:textFill>
        </w:rPr>
        <w:object>
          <v:shape id="_x0000_i1027" o:spt="75" type="#_x0000_t75" style="height:15.7pt;width:10pt;" o:ole="t" filled="f" o:preferrelative="t" stroked="f" coordsize="21600,21600">
            <v:path/>
            <v:fill on="f" focussize="0,0"/>
            <v:stroke on="f" joinstyle="miter"/>
            <v:imagedata r:id="rId18" o:title=""/>
            <o:lock v:ext="edit" aspectratio="t"/>
            <w10:wrap type="none"/>
            <w10:anchorlock/>
          </v:shape>
          <o:OLEObject Type="Embed" ProgID="Equation.DSMT4" ShapeID="_x0000_i1027" DrawAspect="Content" ObjectID="_1468075727" r:id="rId17">
            <o:LockedField>false</o:LockedField>
          </o:OLEObject>
        </w:object>
      </w:r>
      <w:r>
        <w:rPr>
          <w:rFonts w:hAnsi="Times New Roman"/>
          <w:color w:val="000000" w:themeColor="text1"/>
          <w14:textFill>
            <w14:solidFill>
              <w14:schemeClr w14:val="tx1"/>
            </w14:solidFill>
          </w14:textFill>
        </w:rPr>
        <w:t>——风扇裕量常数，实际选择时取1.5~2。</w:t>
      </w:r>
    </w:p>
    <w:p w14:paraId="618C7A6F">
      <w:pPr>
        <w:pStyle w:val="31"/>
        <w:numPr>
          <w:ilvl w:val="3"/>
          <w:numId w:val="39"/>
        </w:numPr>
        <w:autoSpaceDE w:val="0"/>
        <w:autoSpaceDN w:val="0"/>
        <w:adjustRightInd w:val="0"/>
        <w:snapToGrid/>
        <w:ind w:left="0" w:firstLine="420"/>
        <w:jc w:val="both"/>
        <w:textAlignment w:val="auto"/>
        <w:outlineLvl w:val="3"/>
        <w:rPr>
          <w:color w:val="000000" w:themeColor="text1"/>
          <w14:textFill>
            <w14:solidFill>
              <w14:schemeClr w14:val="tx1"/>
            </w14:solidFill>
          </w14:textFill>
        </w:rPr>
      </w:pPr>
      <w:r>
        <w:rPr>
          <w:color w:val="000000" w:themeColor="text1"/>
          <w14:textFill>
            <w14:solidFill>
              <w14:schemeClr w14:val="tx1"/>
            </w14:solidFill>
          </w14:textFill>
        </w:rPr>
        <w:t>采用温度调节装置时，应充分考虑蓄电池和其他热源发热量。</w:t>
      </w:r>
    </w:p>
    <w:p w14:paraId="69F9570A">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蓄电池箱（柜）的</w:t>
      </w:r>
      <w:r>
        <w:rPr>
          <w:rFonts w:hint="eastAsia" w:ascii="黑体" w:hAnsi="黑体" w:eastAsia="黑体"/>
          <w:color w:val="000000" w:themeColor="text1"/>
          <w14:textFill>
            <w14:solidFill>
              <w14:schemeClr w14:val="tx1"/>
            </w14:solidFill>
          </w14:textFill>
        </w:rPr>
        <w:t>温度控制</w:t>
      </w:r>
    </w:p>
    <w:p w14:paraId="355360BF">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布置在开敞甲板上的每一</w:t>
      </w:r>
      <w:r>
        <w:rPr>
          <w:color w:val="000000" w:themeColor="text1"/>
          <w14:textFill>
            <w14:solidFill>
              <w14:schemeClr w14:val="tx1"/>
            </w14:solidFill>
          </w14:textFill>
        </w:rPr>
        <w:t>蓄电池箱（柜）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应设有独立的温度调节装置</w:t>
      </w:r>
      <w:r>
        <w:rPr>
          <w:rFonts w:hint="eastAsia"/>
          <w:color w:val="000000" w:themeColor="text1"/>
          <w14:textFill>
            <w14:solidFill>
              <w14:schemeClr w14:val="tx1"/>
            </w14:solidFill>
          </w14:textFill>
        </w:rPr>
        <w:t>或机械通风系统</w:t>
      </w:r>
      <w:r>
        <w:rPr>
          <w:rFonts w:hint="eastAsia" w:eastAsiaTheme="minorEastAsia"/>
          <w:color w:val="000000" w:themeColor="text1"/>
          <w14:textFill>
            <w14:solidFill>
              <w14:schemeClr w14:val="tx1"/>
            </w14:solidFill>
          </w14:textFill>
        </w:rPr>
        <w:t>。如蓄电池包冷却采用液冷方式且考虑了既定航行水域船舶的环境条件，则蓄电池箱（柜）内可不必设</w:t>
      </w:r>
      <w:r>
        <w:rPr>
          <w:color w:val="000000" w:themeColor="text1"/>
          <w14:textFill>
            <w14:solidFill>
              <w14:schemeClr w14:val="tx1"/>
            </w14:solidFill>
          </w14:textFill>
        </w:rPr>
        <w:t>温度调节装置</w:t>
      </w:r>
      <w:r>
        <w:rPr>
          <w:rFonts w:hint="eastAsia"/>
          <w:color w:val="000000" w:themeColor="text1"/>
          <w14:textFill>
            <w14:solidFill>
              <w14:schemeClr w14:val="tx1"/>
            </w14:solidFill>
          </w14:textFill>
        </w:rPr>
        <w:t>或机械通风系统</w:t>
      </w:r>
      <w:r>
        <w:rPr>
          <w:rFonts w:hint="eastAsia" w:eastAsiaTheme="minorEastAsia"/>
          <w:color w:val="000000" w:themeColor="text1"/>
          <w14:textFill>
            <w14:solidFill>
              <w14:schemeClr w14:val="tx1"/>
            </w14:solidFill>
          </w14:textFill>
        </w:rPr>
        <w:t>。</w:t>
      </w:r>
    </w:p>
    <w:p w14:paraId="170ED189">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采用机械通风</w: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t>通风量应按厂家提供的方法进行电池热交换的机械通风计算，若厂家未提供计算方法，则</w:t>
      </w:r>
      <w:r>
        <w:rPr>
          <w:rFonts w:hint="eastAsia"/>
          <w:color w:val="000000" w:themeColor="text1"/>
          <w14:textFill>
            <w14:solidFill>
              <w14:schemeClr w14:val="tx1"/>
            </w14:solidFill>
          </w14:textFill>
        </w:rPr>
        <w:t>按本节7.1.2.2所示的公式进行计算，其中</w:t>
      </w:r>
      <w:r>
        <w:rPr>
          <w:color w:val="000000" w:themeColor="text1"/>
          <w:position w:val="-6"/>
          <w14:textFill>
            <w14:solidFill>
              <w14:schemeClr w14:val="tx1"/>
            </w14:solidFill>
          </w14:textFill>
        </w:rPr>
        <w:drawing>
          <wp:inline distT="0" distB="0" distL="0" distR="0">
            <wp:extent cx="200025" cy="171450"/>
            <wp:effectExtent l="19050" t="0" r="952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noChangeArrowheads="1"/>
                    </pic:cNvPicPr>
                  </pic:nvPicPr>
                  <pic:blipFill>
                    <a:blip r:embed="rId16" cstate="print"/>
                    <a:srcRect/>
                    <a:stretch>
                      <a:fillRect/>
                    </a:stretch>
                  </pic:blipFill>
                  <pic:spPr>
                    <a:xfrm>
                      <a:off x="0" y="0"/>
                      <a:ext cx="200025" cy="171450"/>
                    </a:xfrm>
                    <a:prstGeom prst="rect">
                      <a:avLst/>
                    </a:prstGeom>
                    <a:noFill/>
                    <a:ln w="9525">
                      <a:noFill/>
                      <a:miter lim="800000"/>
                      <a:headEnd/>
                      <a:tailEnd/>
                    </a:ln>
                  </pic:spPr>
                </pic:pic>
              </a:graphicData>
            </a:graphic>
          </wp:inline>
        </w:drawing>
      </w:r>
      <w:r>
        <w:rPr>
          <w:rFonts w:hint="eastAsia"/>
          <w:color w:val="000000" w:themeColor="text1"/>
          <w14:textFill>
            <w14:solidFill>
              <w14:schemeClr w14:val="tx1"/>
            </w14:solidFill>
          </w14:textFill>
        </w:rPr>
        <w:t>取</w:t>
      </w:r>
      <w:r>
        <w:rPr>
          <w:color w:val="000000" w:themeColor="text1"/>
          <w14:textFill>
            <w14:solidFill>
              <w14:schemeClr w14:val="tx1"/>
            </w14:solidFill>
          </w14:textFill>
        </w:rPr>
        <w:t>蓄电池箱（柜）</w:t>
      </w:r>
      <w:r>
        <w:rPr>
          <w:rFonts w:hint="eastAsia"/>
          <w:color w:val="000000" w:themeColor="text1"/>
          <w14:textFill>
            <w14:solidFill>
              <w14:schemeClr w14:val="tx1"/>
            </w14:solidFill>
          </w14:textFill>
        </w:rPr>
        <w:t>内温度</w:t>
      </w:r>
      <w:r>
        <w:rPr>
          <w:color w:val="000000" w:themeColor="text1"/>
          <w14:textFill>
            <w14:solidFill>
              <w14:schemeClr w14:val="tx1"/>
            </w14:solidFill>
          </w14:textFill>
        </w:rPr>
        <w:t>与外面空气的最高温度</w:t>
      </w:r>
      <w:r>
        <w:rPr>
          <w:rFonts w:hint="eastAsia"/>
          <w:color w:val="000000" w:themeColor="text1"/>
          <w14:textFill>
            <w14:solidFill>
              <w14:schemeClr w14:val="tx1"/>
            </w14:solidFill>
          </w14:textFill>
        </w:rPr>
        <w:t>之</w:t>
      </w:r>
      <w:r>
        <w:rPr>
          <w:color w:val="000000" w:themeColor="text1"/>
          <w14:textFill>
            <w14:solidFill>
              <w14:schemeClr w14:val="tx1"/>
            </w14:solidFill>
          </w14:textFill>
        </w:rPr>
        <w:t>差</w:t>
      </w:r>
      <w:r>
        <w:rPr>
          <w:rFonts w:hint="eastAsia"/>
          <w:color w:val="000000" w:themeColor="text1"/>
          <w14:textFill>
            <w14:solidFill>
              <w14:schemeClr w14:val="tx1"/>
            </w14:solidFill>
          </w14:textFill>
        </w:rPr>
        <w:t>。</w:t>
      </w:r>
    </w:p>
    <w:p w14:paraId="4ACD2328">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采用温度调节装置时，应充分考虑蓄电池和其他热源发热量。</w:t>
      </w:r>
    </w:p>
    <w:p w14:paraId="18E50036">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箱式电源</w:t>
      </w:r>
      <w:r>
        <w:rPr>
          <w:rFonts w:ascii="黑体" w:hAnsi="黑体" w:eastAsia="黑体"/>
          <w:color w:val="000000" w:themeColor="text1"/>
          <w14:textFill>
            <w14:solidFill>
              <w14:schemeClr w14:val="tx1"/>
            </w14:solidFill>
          </w14:textFill>
        </w:rPr>
        <w:t>的</w:t>
      </w:r>
      <w:r>
        <w:rPr>
          <w:rFonts w:hint="eastAsia" w:ascii="黑体" w:hAnsi="黑体" w:eastAsia="黑体"/>
          <w:color w:val="000000" w:themeColor="text1"/>
          <w14:textFill>
            <w14:solidFill>
              <w14:schemeClr w14:val="tx1"/>
            </w14:solidFill>
          </w14:textFill>
        </w:rPr>
        <w:t>温度控制</w:t>
      </w:r>
    </w:p>
    <w:p w14:paraId="302AA203">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箱式电源内电池处所的温度控制应满足本节对蓄电池舱的相关要求</w:t>
      </w:r>
      <w:r>
        <w:rPr>
          <w:rFonts w:hint="eastAsia" w:eastAsiaTheme="minorEastAsia"/>
          <w:color w:val="000000" w:themeColor="text1"/>
          <w14:textFill>
            <w14:solidFill>
              <w14:schemeClr w14:val="tx1"/>
            </w14:solidFill>
          </w14:textFill>
        </w:rPr>
        <w:t>。</w:t>
      </w:r>
    </w:p>
    <w:p w14:paraId="357DF583">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82" w:name="_Toc167869227"/>
      <w:r>
        <w:rPr>
          <w:rFonts w:hint="eastAsia" w:ascii="Times New Roman" w:hAnsi="Times New Roman"/>
          <w:color w:val="000000" w:themeColor="text1"/>
          <w14:textFill>
            <w14:solidFill>
              <w14:schemeClr w14:val="tx1"/>
            </w14:solidFill>
          </w14:textFill>
        </w:rPr>
        <w:t>应急排气</w:t>
      </w:r>
      <w:bookmarkEnd w:id="82"/>
    </w:p>
    <w:p w14:paraId="2FCAEE86">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一般要求</w:t>
      </w:r>
    </w:p>
    <w:p w14:paraId="433D3B5D">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蓄电池安装处所</w:t>
      </w:r>
      <w:r>
        <w:rPr>
          <w:color w:val="000000" w:themeColor="text1"/>
          <w14:textFill>
            <w14:solidFill>
              <w14:schemeClr w14:val="tx1"/>
            </w14:solidFill>
          </w14:textFill>
        </w:rPr>
        <w:t>应设有</w:t>
      </w:r>
      <w:r>
        <w:rPr>
          <w:rFonts w:hint="eastAsia"/>
          <w:color w:val="000000" w:themeColor="text1"/>
          <w14:textFill>
            <w14:solidFill>
              <w14:schemeClr w14:val="tx1"/>
            </w14:solidFill>
          </w14:textFill>
        </w:rPr>
        <w:t>应急排气措施，</w:t>
      </w:r>
      <w:r>
        <w:rPr>
          <w:color w:val="000000" w:themeColor="text1"/>
          <w14:textFill>
            <w14:solidFill>
              <w14:schemeClr w14:val="tx1"/>
            </w14:solidFill>
          </w14:textFill>
        </w:rPr>
        <w:t>以便及时排出蓄电池热失控情况下产生的可燃气体</w:t>
      </w:r>
      <w:r>
        <w:rPr>
          <w:rFonts w:hint="eastAsia"/>
          <w:color w:val="000000" w:themeColor="text1"/>
          <w14:textFill>
            <w14:solidFill>
              <w14:schemeClr w14:val="tx1"/>
            </w14:solidFill>
          </w14:textFill>
        </w:rPr>
        <w:t>。</w:t>
      </w:r>
    </w:p>
    <w:p w14:paraId="15C7DDE4">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ascii="宋体"/>
          <w:color w:val="000000" w:themeColor="text1"/>
          <w14:textFill>
            <w14:solidFill>
              <w14:schemeClr w14:val="tx1"/>
            </w14:solidFill>
          </w14:textFill>
        </w:rPr>
        <w:t>应急排气系统应与本规则</w:t>
      </w:r>
      <w:r>
        <w:rPr>
          <w:color w:val="000000" w:themeColor="text1"/>
          <w14:textFill>
            <w14:solidFill>
              <w14:schemeClr w14:val="tx1"/>
            </w14:solidFill>
          </w14:textFill>
        </w:rPr>
        <w:t>第6章第5</w:t>
      </w:r>
      <w:r>
        <w:rPr>
          <w:rFonts w:hint="eastAsia" w:ascii="宋体"/>
          <w:color w:val="000000" w:themeColor="text1"/>
          <w14:textFill>
            <w14:solidFill>
              <w14:schemeClr w14:val="tx1"/>
            </w14:solidFill>
          </w14:textFill>
        </w:rPr>
        <w:t>节所要求的可燃气体探测报警系统联动，当探测到蓄电池安装处所内可燃气体浓度大于其爆炸下限（体积分数）的</w:t>
      </w:r>
      <w:r>
        <w:rPr>
          <w:color w:val="000000" w:themeColor="text1"/>
          <w14:textFill>
            <w14:solidFill>
              <w14:schemeClr w14:val="tx1"/>
            </w14:solidFill>
          </w14:textFill>
        </w:rPr>
        <w:t>20%</w:t>
      </w:r>
      <w:r>
        <w:rPr>
          <w:rFonts w:hint="eastAsia" w:ascii="宋体"/>
          <w:color w:val="000000" w:themeColor="text1"/>
          <w14:textFill>
            <w14:solidFill>
              <w14:schemeClr w14:val="tx1"/>
            </w14:solidFill>
          </w14:textFill>
        </w:rPr>
        <w:t>时，应自动启动应急排气系统。</w:t>
      </w:r>
    </w:p>
    <w:p w14:paraId="56F9E982">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应急排气</w:t>
      </w:r>
      <w:r>
        <w:rPr>
          <w:rFonts w:hint="eastAsia"/>
          <w:color w:val="000000" w:themeColor="text1"/>
          <w14:textFill>
            <w14:solidFill>
              <w14:schemeClr w14:val="tx1"/>
            </w14:solidFill>
          </w14:textFill>
        </w:rPr>
        <w:t>管路的设置应能防止可燃气</w:t>
      </w:r>
      <w:r>
        <w:rPr>
          <w:rFonts w:hint="eastAsia" w:ascii="宋体"/>
          <w:color w:val="000000" w:themeColor="text1"/>
          <w:sz w:val="22"/>
          <w:szCs w:val="22"/>
          <w14:textFill>
            <w14:solidFill>
              <w14:schemeClr w14:val="tx1"/>
            </w14:solidFill>
          </w14:textFill>
        </w:rPr>
        <w:t>体</w:t>
      </w:r>
      <w:r>
        <w:rPr>
          <w:rFonts w:hint="eastAsia"/>
          <w:color w:val="000000" w:themeColor="text1"/>
          <w14:textFill>
            <w14:solidFill>
              <w14:schemeClr w14:val="tx1"/>
            </w14:solidFill>
          </w14:textFill>
        </w:rPr>
        <w:t>通过这些管路直接进入其他的蓄电池舱或其他各类舱室。</w:t>
      </w:r>
      <w:r>
        <w:rPr>
          <w:color w:val="000000" w:themeColor="text1"/>
          <w14:textFill>
            <w14:solidFill>
              <w14:schemeClr w14:val="tx1"/>
            </w14:solidFill>
          </w14:textFill>
        </w:rPr>
        <w:t>管路贯穿的细节应满足</w:t>
      </w:r>
      <w:r>
        <w:rPr>
          <w:rFonts w:hint="eastAsia"/>
          <w:color w:val="000000" w:themeColor="text1"/>
          <w14:textFill>
            <w14:solidFill>
              <w14:schemeClr w14:val="tx1"/>
            </w14:solidFill>
          </w14:textFill>
        </w:rPr>
        <w:t>第</w:t>
      </w:r>
      <w:r>
        <w:rPr>
          <w:color w:val="000000" w:themeColor="text1"/>
          <w14:textFill>
            <w14:solidFill>
              <w14:schemeClr w14:val="tx1"/>
            </w14:solidFill>
          </w14:textFill>
        </w:rPr>
        <w:t>8章8.2.4.1</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通风</w:t>
      </w:r>
      <w:r>
        <w:rPr>
          <w:rFonts w:hint="eastAsia"/>
          <w:color w:val="000000" w:themeColor="text1"/>
          <w14:textFill>
            <w14:solidFill>
              <w14:schemeClr w14:val="tx1"/>
            </w14:solidFill>
          </w14:textFill>
        </w:rPr>
        <w:t>系统</w:t>
      </w:r>
      <w:r>
        <w:rPr>
          <w:color w:val="000000" w:themeColor="text1"/>
          <w14:textFill>
            <w14:solidFill>
              <w14:schemeClr w14:val="tx1"/>
            </w14:solidFill>
          </w14:textFill>
        </w:rPr>
        <w:t>的相关要求</w:t>
      </w:r>
      <w:r>
        <w:rPr>
          <w:rFonts w:hint="eastAsia"/>
          <w:color w:val="000000" w:themeColor="text1"/>
          <w14:textFill>
            <w14:solidFill>
              <w14:schemeClr w14:val="tx1"/>
            </w14:solidFill>
          </w14:textFill>
        </w:rPr>
        <w:t>。</w:t>
      </w:r>
    </w:p>
    <w:p w14:paraId="5579A6B5">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蓄电池舱的应急排气</w:t>
      </w:r>
    </w:p>
    <w:p w14:paraId="101E6995">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每一</w:t>
      </w:r>
      <w:r>
        <w:rPr>
          <w:color w:val="000000" w:themeColor="text1"/>
          <w14:textFill>
            <w14:solidFill>
              <w14:schemeClr w14:val="tx1"/>
            </w14:solidFill>
          </w14:textFill>
        </w:rPr>
        <w:t>蓄电池舱应设置独立的应急排气系统</w:t>
      </w:r>
      <w:r>
        <w:rPr>
          <w:rFonts w:hint="eastAsia"/>
          <w:color w:val="000000" w:themeColor="text1"/>
          <w14:textFill>
            <w14:solidFill>
              <w14:schemeClr w14:val="tx1"/>
            </w14:solidFill>
          </w14:textFill>
        </w:rPr>
        <w:t>。</w:t>
      </w:r>
    </w:p>
    <w:p w14:paraId="4DF50AF0">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应急排气管应由钢或其他等效材料制造</w:t>
      </w:r>
      <w:r>
        <w:rPr>
          <w:rFonts w:hint="eastAsia"/>
          <w:color w:val="000000" w:themeColor="text1"/>
          <w14:textFill>
            <w14:solidFill>
              <w14:schemeClr w14:val="tx1"/>
            </w14:solidFill>
          </w14:textFill>
        </w:rPr>
        <w:t>。</w:t>
      </w:r>
    </w:p>
    <w:p w14:paraId="2C7A57FE">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从风机排出的气体应引至开敞甲板上的安全地点，并远离有人居住或含有热源的处所。</w:t>
      </w:r>
      <w:r>
        <w:rPr>
          <w:rFonts w:hint="eastAsia"/>
          <w:color w:val="000000" w:themeColor="text1"/>
          <w14:textFill>
            <w14:solidFill>
              <w14:schemeClr w14:val="tx1"/>
            </w14:solidFill>
          </w14:textFill>
        </w:rPr>
        <w:t>应急排气口与其他处所的开口或进风口的水平距离应至少为</w:t>
      </w:r>
      <w:r>
        <w:rPr>
          <w:color w:val="000000" w:themeColor="text1"/>
          <w14:textFill>
            <w14:solidFill>
              <w14:schemeClr w14:val="tx1"/>
            </w14:solidFill>
          </w14:textFill>
        </w:rPr>
        <w:t>3m</w:t>
      </w:r>
      <w:r>
        <w:rPr>
          <w:rFonts w:hint="eastAsia"/>
          <w:color w:val="000000" w:themeColor="text1"/>
          <w14:textFill>
            <w14:solidFill>
              <w14:schemeClr w14:val="tx1"/>
            </w14:solidFill>
          </w14:textFill>
        </w:rPr>
        <w:t>，但对于船长小于</w:t>
      </w:r>
      <w:r>
        <w:rPr>
          <w:color w:val="000000" w:themeColor="text1"/>
          <w14:textFill>
            <w14:solidFill>
              <w14:schemeClr w14:val="tx1"/>
            </w14:solidFill>
          </w14:textFill>
        </w:rPr>
        <w:t>20m</w:t>
      </w:r>
      <w:r>
        <w:rPr>
          <w:rFonts w:hint="eastAsia"/>
          <w:color w:val="000000" w:themeColor="text1"/>
          <w14:textFill>
            <w14:solidFill>
              <w14:schemeClr w14:val="tx1"/>
            </w14:solidFill>
          </w14:textFill>
        </w:rPr>
        <w:t>的船舶，该距离可至少为</w:t>
      </w:r>
      <w:r>
        <w:rPr>
          <w:color w:val="000000" w:themeColor="text1"/>
          <w14:textFill>
            <w14:solidFill>
              <w14:schemeClr w14:val="tx1"/>
            </w14:solidFill>
          </w14:textFill>
        </w:rPr>
        <w:t>1.5m</w:t>
      </w:r>
      <w:r>
        <w:rPr>
          <w:rFonts w:hint="eastAsia"/>
          <w:color w:val="000000" w:themeColor="text1"/>
          <w14:textFill>
            <w14:solidFill>
              <w14:schemeClr w14:val="tx1"/>
            </w14:solidFill>
          </w14:textFill>
        </w:rPr>
        <w:t>。</w:t>
      </w:r>
    </w:p>
    <w:p w14:paraId="44B14BEC">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应急排气量应按该处所换气次数不小于30次/h进行计算。应急排风机应采用不会产生火花的型式。</w:t>
      </w:r>
    </w:p>
    <w:p w14:paraId="15858FE4">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应设有</w:t>
      </w:r>
      <w:r>
        <w:rPr>
          <w:color w:val="000000" w:themeColor="text1"/>
          <w14:textFill>
            <w14:solidFill>
              <w14:schemeClr w14:val="tx1"/>
            </w14:solidFill>
          </w14:textFill>
        </w:rPr>
        <w:t>两个能切断风机的控制装置，</w:t>
      </w:r>
      <w:r>
        <w:rPr>
          <w:rFonts w:hint="eastAsia"/>
          <w:color w:val="000000" w:themeColor="text1"/>
          <w14:textFill>
            <w14:solidFill>
              <w14:schemeClr w14:val="tx1"/>
            </w14:solidFill>
          </w14:textFill>
        </w:rPr>
        <w:t>其中之一应位于所服务处所外面易于到达的位置，且不被其服务处所的火灾所隔断，另一个应设</w:t>
      </w:r>
      <w:r>
        <w:rPr>
          <w:color w:val="000000" w:themeColor="text1"/>
          <w14:textFill>
            <w14:solidFill>
              <w14:schemeClr w14:val="tx1"/>
            </w14:solidFill>
          </w14:textFill>
        </w:rPr>
        <w:t>在驾驶室或</w:t>
      </w:r>
      <w:r>
        <w:rPr>
          <w:rFonts w:hint="eastAsia"/>
          <w:color w:val="000000" w:themeColor="text1"/>
          <w14:textFill>
            <w14:solidFill>
              <w14:schemeClr w14:val="tx1"/>
            </w14:solidFill>
          </w14:textFill>
        </w:rPr>
        <w:t>有人值班的处所。</w:t>
      </w:r>
    </w:p>
    <w:p w14:paraId="7E8F9EA2">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应急排气系统应由</w:t>
      </w:r>
      <w:r>
        <w:rPr>
          <w:rFonts w:hint="eastAsia"/>
          <w:color w:val="000000" w:themeColor="text1"/>
          <w14:textFill>
            <w14:solidFill>
              <w14:schemeClr w14:val="tx1"/>
            </w14:solidFill>
          </w14:textFill>
        </w:rPr>
        <w:t>主电源和应急电源两路电源</w:t>
      </w:r>
      <w:r>
        <w:rPr>
          <w:color w:val="000000" w:themeColor="text1"/>
          <w14:textFill>
            <w14:solidFill>
              <w14:schemeClr w14:val="tx1"/>
            </w14:solidFill>
          </w14:textFill>
        </w:rPr>
        <w:t>供电</w:t>
      </w:r>
      <w:r>
        <w:rPr>
          <w:rFonts w:hint="eastAsia"/>
          <w:color w:val="000000" w:themeColor="text1"/>
          <w14:textFill>
            <w14:solidFill>
              <w14:schemeClr w14:val="tx1"/>
            </w14:solidFill>
          </w14:textFill>
        </w:rPr>
        <w:t>。两路电源应能自动转换</w:t>
      </w:r>
      <w:r>
        <w:rPr>
          <w:color w:val="000000" w:themeColor="text1"/>
          <w14:textFill>
            <w14:solidFill>
              <w14:schemeClr w14:val="tx1"/>
            </w14:solidFill>
          </w14:textFill>
        </w:rPr>
        <w:t>。</w:t>
      </w:r>
    </w:p>
    <w:p w14:paraId="4F06D1F5">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所有排气口应能在所在处所失火时在处所外部予以关闭。</w:t>
      </w:r>
    </w:p>
    <w:p w14:paraId="627958AB">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蓄电池箱（柜）的应急排气</w:t>
      </w:r>
    </w:p>
    <w:p w14:paraId="6C14D669">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布置在开敞甲板上的每一</w:t>
      </w:r>
      <w:r>
        <w:rPr>
          <w:color w:val="000000" w:themeColor="text1"/>
          <w14:textFill>
            <w14:solidFill>
              <w14:schemeClr w14:val="tx1"/>
            </w14:solidFill>
          </w14:textFill>
        </w:rPr>
        <w:t>蓄电池箱（柜）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应设置独立的应急排气系统</w:t>
      </w:r>
      <w:r>
        <w:rPr>
          <w:rFonts w:hint="eastAsia" w:eastAsiaTheme="minorEastAsia"/>
          <w:color w:val="000000" w:themeColor="text1"/>
          <w14:textFill>
            <w14:solidFill>
              <w14:schemeClr w14:val="tx1"/>
            </w14:solidFill>
          </w14:textFill>
        </w:rPr>
        <w:t>。</w:t>
      </w:r>
      <w:r>
        <w:rPr>
          <w:color w:val="000000" w:themeColor="text1"/>
          <w14:textFill>
            <w14:solidFill>
              <w14:schemeClr w14:val="tx1"/>
            </w14:solidFill>
          </w14:textFill>
        </w:rPr>
        <w:t>该系统应以蓄电池箱（柜）内环境为保护区域，并</w:t>
      </w:r>
      <w:r>
        <w:rPr>
          <w:rFonts w:hint="eastAsia"/>
          <w:color w:val="000000" w:themeColor="text1"/>
          <w14:textFill>
            <w14:solidFill>
              <w14:schemeClr w14:val="tx1"/>
            </w14:solidFill>
          </w14:textFill>
        </w:rPr>
        <w:t>满足本节7.2.2.2~</w:t>
      </w:r>
      <w:r>
        <w:rPr>
          <w:color w:val="000000" w:themeColor="text1"/>
          <w14:textFill>
            <w14:solidFill>
              <w14:schemeClr w14:val="tx1"/>
            </w14:solidFill>
          </w14:textFill>
        </w:rPr>
        <w:t>7.2.2.</w:t>
      </w:r>
      <w:r>
        <w:rPr>
          <w:rFonts w:hint="eastAsia"/>
          <w:color w:val="000000" w:themeColor="text1"/>
          <w14:textFill>
            <w14:solidFill>
              <w14:schemeClr w14:val="tx1"/>
            </w14:solidFill>
          </w14:textFill>
        </w:rPr>
        <w:t>6的要求，应急排气口与其他处所的开口或进风口的水平距离可为1.5</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p w14:paraId="1A8742E6">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箱式电源的特殊要求</w:t>
      </w:r>
    </w:p>
    <w:p w14:paraId="3CBFC70C">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箱式电源内电池处所的应急排气系统，除满足本节对蓄电池舱应急排气系统的相关要求外（本节7.2.2.6除外），其</w:t>
      </w:r>
      <w:r>
        <w:rPr>
          <w:color w:val="000000" w:themeColor="text1"/>
          <w14:textFill>
            <w14:solidFill>
              <w14:schemeClr w14:val="tx1"/>
            </w14:solidFill>
          </w14:textFill>
        </w:rPr>
        <w:t>应急排气口应设置防火风闸并具有自闭功能</w:t>
      </w:r>
      <w:r>
        <w:rPr>
          <w:rFonts w:hint="eastAsia"/>
          <w:color w:val="000000" w:themeColor="text1"/>
          <w14:textFill>
            <w14:solidFill>
              <w14:schemeClr w14:val="tx1"/>
            </w14:solidFill>
          </w14:textFill>
        </w:rPr>
        <w:t>，并能在箱式电源外人员易于到达的位置手动关闭防火风闸</w:t>
      </w:r>
      <w:r>
        <w:rPr>
          <w:color w:val="000000" w:themeColor="text1"/>
          <w14:textFill>
            <w14:solidFill>
              <w14:schemeClr w14:val="tx1"/>
            </w14:solidFill>
          </w14:textFill>
        </w:rPr>
        <w:t>。</w:t>
      </w:r>
    </w:p>
    <w:p w14:paraId="5E913DE0">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w:t>
      </w:r>
      <w:r>
        <w:rPr>
          <w:rFonts w:hint="eastAsia"/>
          <w:color w:val="000000" w:themeColor="text1"/>
          <w14:textFill>
            <w14:solidFill>
              <w14:schemeClr w14:val="tx1"/>
            </w14:solidFill>
          </w14:textFill>
        </w:rPr>
        <w:t>内电池处所</w:t>
      </w:r>
      <w:r>
        <w:rPr>
          <w:color w:val="000000" w:themeColor="text1"/>
          <w14:textFill>
            <w14:solidFill>
              <w14:schemeClr w14:val="tx1"/>
            </w14:solidFill>
          </w14:textFill>
        </w:rPr>
        <w:t>的应急排气系统应</w:t>
      </w:r>
      <w:r>
        <w:rPr>
          <w:rFonts w:hint="eastAsia"/>
          <w:color w:val="000000" w:themeColor="text1"/>
          <w14:textFill>
            <w14:solidFill>
              <w14:schemeClr w14:val="tx1"/>
            </w14:solidFill>
          </w14:textFill>
        </w:rPr>
        <w:t>至少</w:t>
      </w:r>
      <w:r>
        <w:rPr>
          <w:color w:val="000000" w:themeColor="text1"/>
          <w14:textFill>
            <w14:solidFill>
              <w14:schemeClr w14:val="tx1"/>
            </w14:solidFill>
          </w14:textFill>
        </w:rPr>
        <w:t>由两路独立电源供电，其中一路电源应由除本箱体主电源以外的其</w:t>
      </w:r>
      <w:r>
        <w:rPr>
          <w:rFonts w:hint="eastAsia"/>
          <w:color w:val="000000" w:themeColor="text1"/>
          <w14:textFill>
            <w14:solidFill>
              <w14:schemeClr w14:val="tx1"/>
            </w14:solidFill>
          </w14:textFill>
        </w:rPr>
        <w:t>他</w:t>
      </w:r>
      <w:r>
        <w:rPr>
          <w:color w:val="000000" w:themeColor="text1"/>
          <w14:textFill>
            <w14:solidFill>
              <w14:schemeClr w14:val="tx1"/>
            </w14:solidFill>
          </w14:textFill>
        </w:rPr>
        <w:t>电源系统供电，且供电时间满足</w:t>
      </w:r>
      <w:r>
        <w:rPr>
          <w:rFonts w:hint="eastAsia"/>
          <w:color w:val="000000" w:themeColor="text1"/>
          <w14:textFill>
            <w14:solidFill>
              <w14:schemeClr w14:val="tx1"/>
            </w14:solidFill>
          </w14:textFill>
        </w:rPr>
        <w:t>本局对船舶航行水域对应规则</w:t>
      </w:r>
      <w:r>
        <w:rPr>
          <w:color w:val="000000" w:themeColor="text1"/>
          <w14:textFill>
            <w14:solidFill>
              <w14:schemeClr w14:val="tx1"/>
            </w14:solidFill>
          </w14:textFill>
        </w:rPr>
        <w:t>对应急电源供电时间的要求。</w:t>
      </w:r>
      <w:r>
        <w:rPr>
          <w:rFonts w:hint="eastAsia"/>
          <w:color w:val="000000" w:themeColor="text1"/>
          <w14:textFill>
            <w14:solidFill>
              <w14:schemeClr w14:val="tx1"/>
            </w14:solidFill>
          </w14:textFill>
        </w:rPr>
        <w:t>当本箱体主电源失电时，应能自动从本箱体主电源以外的电源获得供电。</w:t>
      </w:r>
    </w:p>
    <w:p w14:paraId="11A2BCA2">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83" w:name="_Toc167869228"/>
      <w:r>
        <w:rPr>
          <w:rFonts w:hint="eastAsia" w:ascii="Times New Roman" w:hAnsi="Times New Roman"/>
          <w:color w:val="000000" w:themeColor="text1"/>
          <w14:textFill>
            <w14:solidFill>
              <w14:schemeClr w14:val="tx1"/>
            </w14:solidFill>
          </w14:textFill>
        </w:rPr>
        <w:t>排水</w:t>
      </w:r>
      <w:bookmarkEnd w:id="83"/>
    </w:p>
    <w:p w14:paraId="3F006B2D">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一般</w:t>
      </w:r>
      <w:r>
        <w:rPr>
          <w:rFonts w:hint="eastAsia" w:ascii="黑体" w:hAnsi="黑体" w:eastAsia="黑体"/>
          <w:color w:val="000000" w:themeColor="text1"/>
          <w14:textFill>
            <w14:solidFill>
              <w14:schemeClr w14:val="tx1"/>
            </w14:solidFill>
          </w14:textFill>
        </w:rPr>
        <w:t>要求</w:t>
      </w:r>
    </w:p>
    <w:p w14:paraId="5989C541">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船上应设有排水措施，及时排除蓄电池所在处所的积水</w:t>
      </w:r>
      <w:r>
        <w:rPr>
          <w:rFonts w:hint="eastAsia"/>
          <w:color w:val="000000" w:themeColor="text1"/>
          <w14:textFill>
            <w14:solidFill>
              <w14:schemeClr w14:val="tx1"/>
            </w14:solidFill>
          </w14:textFill>
        </w:rPr>
        <w:t>，并能防止堵塞。</w:t>
      </w:r>
    </w:p>
    <w:p w14:paraId="1E90FA7A">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应充分考虑为</w:t>
      </w:r>
      <w:r>
        <w:rPr>
          <w:color w:val="000000" w:themeColor="text1"/>
          <w14:textFill>
            <w14:solidFill>
              <w14:schemeClr w14:val="tx1"/>
            </w14:solidFill>
          </w14:textFill>
        </w:rPr>
        <w:t>应对蓄电池火灾所产生的大量水的排放，而不至于影响船舶稳性。蓄电池舱</w:t>
      </w:r>
      <w:r>
        <w:rPr>
          <w:rFonts w:hint="eastAsia"/>
          <w:color w:val="000000" w:themeColor="text1"/>
          <w14:textFill>
            <w14:solidFill>
              <w14:schemeClr w14:val="tx1"/>
            </w14:solidFill>
          </w14:textFill>
        </w:rPr>
        <w:t>位于舱壁甲板以上</w:t>
      </w:r>
      <w:r>
        <w:rPr>
          <w:color w:val="000000" w:themeColor="text1"/>
          <w14:textFill>
            <w14:solidFill>
              <w14:schemeClr w14:val="tx1"/>
            </w14:solidFill>
          </w14:textFill>
        </w:rPr>
        <w:t>时，应设有泄水孔以确保这些水能被迅速直接排往舷外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蓄电池舱位于舱壁甲板以下时，</w:t>
      </w:r>
      <w:r>
        <w:rPr>
          <w:rFonts w:hint="eastAsia"/>
          <w:color w:val="000000" w:themeColor="text1"/>
          <w14:textFill>
            <w14:solidFill>
              <w14:schemeClr w14:val="tx1"/>
            </w14:solidFill>
          </w14:textFill>
        </w:rPr>
        <w:t>蓄电池舱排水系统吸口的布置位置和型式，除保证舱内积水能及时排除外，其</w:t>
      </w:r>
      <w:r>
        <w:rPr>
          <w:color w:val="000000" w:themeColor="text1"/>
          <w14:textFill>
            <w14:solidFill>
              <w14:schemeClr w14:val="tx1"/>
            </w14:solidFill>
          </w14:textFill>
        </w:rPr>
        <w:t>排量应</w:t>
      </w:r>
      <w:r>
        <w:rPr>
          <w:rFonts w:hint="eastAsia"/>
          <w:color w:val="000000" w:themeColor="text1"/>
          <w14:textFill>
            <w14:solidFill>
              <w14:schemeClr w14:val="tx1"/>
            </w14:solidFill>
          </w14:textFill>
        </w:rPr>
        <w:t>大于等于</w:t>
      </w:r>
      <w:r>
        <w:rPr>
          <w:color w:val="000000" w:themeColor="text1"/>
          <w14:textFill>
            <w14:solidFill>
              <w14:schemeClr w14:val="tx1"/>
            </w14:solidFill>
          </w14:textFill>
        </w:rPr>
        <w:t>消防水枪容量的125%</w:t>
      </w:r>
      <w:r>
        <w:rPr>
          <w:rFonts w:hint="eastAsia"/>
          <w:color w:val="000000" w:themeColor="text1"/>
          <w14:textFill>
            <w14:solidFill>
              <w14:schemeClr w14:val="tx1"/>
            </w14:solidFill>
          </w14:textFill>
        </w:rPr>
        <w:t>。</w:t>
      </w:r>
    </w:p>
    <w:p w14:paraId="03DA385F">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蓄电池舱排水管路的设置应能防止可燃气体通过这些管路直接进入其他的蓄电池舱或其他各类舱室。</w:t>
      </w:r>
    </w:p>
    <w:p w14:paraId="614026FC">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对于箱式电源所在区域应有排水措施，避免由于雨水、上浪及消防水等因素产生的积水的影响。</w:t>
      </w:r>
    </w:p>
    <w:p w14:paraId="61B10EE8">
      <w:pPr>
        <w:pStyle w:val="39"/>
        <w:keepNext w:val="0"/>
        <w:keepLines w:val="0"/>
        <w:pageBreakBefore w:val="0"/>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590546B0">
      <w:pPr>
        <w:pStyle w:val="39"/>
        <w:keepNext w:val="0"/>
        <w:keepLines w:val="0"/>
        <w:numPr>
          <w:ilvl w:val="0"/>
          <w:numId w:val="39"/>
        </w:numPr>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pPr>
      <w:bookmarkStart w:id="84" w:name="_Toc167869229"/>
      <w:r>
        <w:rPr>
          <w:rFonts w:hint="eastAsia" w:ascii="Times New Roman" w:hAnsi="Times New Roman" w:cs="Times New Roman"/>
          <w:color w:val="000000" w:themeColor="text1"/>
          <w14:textFill>
            <w14:solidFill>
              <w14:schemeClr w14:val="tx1"/>
            </w14:solidFill>
          </w14:textFill>
        </w:rPr>
        <w:t>消防</w:t>
      </w:r>
      <w:bookmarkEnd w:id="84"/>
    </w:p>
    <w:p w14:paraId="4E1A11B8">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85" w:name="_Toc167869230"/>
      <w:r>
        <w:rPr>
          <w:rFonts w:hint="eastAsia" w:ascii="Times New Roman" w:hAnsi="Times New Roman"/>
          <w:color w:val="000000" w:themeColor="text1"/>
          <w14:textFill>
            <w14:solidFill>
              <w14:schemeClr w14:val="tx1"/>
            </w14:solidFill>
          </w14:textFill>
        </w:rPr>
        <w:t>一般规定</w:t>
      </w:r>
      <w:bookmarkEnd w:id="85"/>
    </w:p>
    <w:p w14:paraId="29592E15">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color w:val="000000" w:themeColor="text1"/>
          <w14:textFill>
            <w14:solidFill>
              <w14:schemeClr w14:val="tx1"/>
            </w14:solidFill>
          </w14:textFill>
        </w:rPr>
      </w:pPr>
      <w:bookmarkStart w:id="86" w:name="_Toc111796085"/>
      <w:bookmarkStart w:id="87" w:name="_Toc128424119"/>
      <w:r>
        <w:rPr>
          <w:rFonts w:hint="eastAsia" w:ascii="黑体" w:hAnsi="黑体" w:eastAsia="黑体"/>
          <w:color w:val="000000" w:themeColor="text1"/>
          <w14:textFill>
            <w14:solidFill>
              <w14:schemeClr w14:val="tx1"/>
            </w14:solidFill>
          </w14:textFill>
        </w:rPr>
        <w:t>一般要求</w:t>
      </w:r>
      <w:bookmarkEnd w:id="86"/>
      <w:bookmarkEnd w:id="87"/>
    </w:p>
    <w:p w14:paraId="284538F3">
      <w:pPr>
        <w:pStyle w:val="53"/>
        <w:numPr>
          <w:ilvl w:val="3"/>
          <w:numId w:val="39"/>
        </w:numPr>
        <w:spacing w:line="240" w:lineRule="auto"/>
        <w:ind w:left="0"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为防止蓄电池的燃烧或爆炸，将蓄电池火灾和爆炸抑制、控制和扑灭在着火舱室内，船舶消防安全设计和布置需满足如下功能要求：</w:t>
      </w:r>
    </w:p>
    <w:p w14:paraId="5D37D8A8">
      <w:pPr>
        <w:pStyle w:val="58"/>
        <w:widowControl/>
        <w:numPr>
          <w:ilvl w:val="0"/>
          <w:numId w:val="49"/>
        </w:numPr>
        <w:spacing w:line="240" w:lineRule="auto"/>
        <w:jc w:val="left"/>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蓄电池舱限界面的隔热应充分考虑蓄电池舱与相邻处所的火灾危险程度；</w:t>
      </w:r>
    </w:p>
    <w:p w14:paraId="112FFCB8">
      <w:pPr>
        <w:pStyle w:val="58"/>
        <w:widowControl/>
        <w:numPr>
          <w:ilvl w:val="0"/>
          <w:numId w:val="49"/>
        </w:numPr>
        <w:spacing w:line="240" w:lineRule="auto"/>
        <w:jc w:val="left"/>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固定式探火和失火报警系统装置应适合于蓄电池舱的性质、潜在的火势增大和潜在的烟气产生；</w:t>
      </w:r>
    </w:p>
    <w:p w14:paraId="78542E66">
      <w:pPr>
        <w:pStyle w:val="58"/>
        <w:widowControl/>
        <w:numPr>
          <w:ilvl w:val="0"/>
          <w:numId w:val="49"/>
        </w:numPr>
        <w:spacing w:line="240" w:lineRule="auto"/>
        <w:jc w:val="left"/>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应为蓄电池舱提供适宜的灭火装置；</w:t>
      </w:r>
    </w:p>
    <w:p w14:paraId="31351BDA">
      <w:pPr>
        <w:pStyle w:val="58"/>
        <w:widowControl/>
        <w:numPr>
          <w:ilvl w:val="0"/>
          <w:numId w:val="49"/>
        </w:numPr>
        <w:spacing w:line="240" w:lineRule="auto"/>
        <w:jc w:val="left"/>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应为蓄电池舱内人员提供安全的脱险通道。</w:t>
      </w:r>
    </w:p>
    <w:p w14:paraId="10A568D6">
      <w:pPr>
        <w:pStyle w:val="53"/>
        <w:numPr>
          <w:ilvl w:val="3"/>
          <w:numId w:val="39"/>
        </w:numPr>
        <w:spacing w:line="240" w:lineRule="auto"/>
        <w:ind w:left="0" w:firstLine="42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除</w:t>
      </w:r>
      <w:r>
        <w:rPr>
          <w:color w:val="000000" w:themeColor="text1"/>
          <w14:textFill>
            <w14:solidFill>
              <w14:schemeClr w14:val="tx1"/>
            </w14:solidFill>
          </w14:textFill>
        </w:rPr>
        <w:t>满足本章</w:t>
      </w:r>
      <w:r>
        <w:rPr>
          <w:rFonts w:ascii="宋体" w:hAnsi="宋体" w:cs="宋体"/>
          <w:color w:val="000000" w:themeColor="text1"/>
          <w:szCs w:val="21"/>
          <w14:textFill>
            <w14:solidFill>
              <w14:schemeClr w14:val="tx1"/>
            </w14:solidFill>
          </w14:textFill>
        </w:rPr>
        <w:t>要求</w:t>
      </w:r>
      <w:r>
        <w:rPr>
          <w:color w:val="000000" w:themeColor="text1"/>
          <w14:textFill>
            <w14:solidFill>
              <w14:schemeClr w14:val="tx1"/>
            </w14:solidFill>
          </w14:textFill>
        </w:rPr>
        <w:t>外，船舶消防尚应满足</w:t>
      </w:r>
      <w:r>
        <w:rPr>
          <w:rFonts w:cs="宋体"/>
          <w:color w:val="000000" w:themeColor="text1"/>
          <w:szCs w:val="21"/>
          <w14:textFill>
            <w14:solidFill>
              <w14:schemeClr w14:val="tx1"/>
            </w14:solidFill>
          </w14:textFill>
        </w:rPr>
        <w:t>本局对船舶航行水域适用的规则的相关要求</w:t>
      </w:r>
      <w:r>
        <w:rPr>
          <w:rFonts w:hint="eastAsia" w:cs="宋体"/>
          <w:color w:val="000000" w:themeColor="text1"/>
          <w:szCs w:val="21"/>
          <w14:textFill>
            <w14:solidFill>
              <w14:schemeClr w14:val="tx1"/>
            </w14:solidFill>
          </w14:textFill>
        </w:rPr>
        <w:t>。</w:t>
      </w:r>
    </w:p>
    <w:p w14:paraId="64B02D92">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除本章</w:t>
      </w:r>
      <w:r>
        <w:rPr>
          <w:color w:val="000000" w:themeColor="text1"/>
          <w14:textFill>
            <w14:solidFill>
              <w14:schemeClr w14:val="tx1"/>
            </w14:solidFill>
          </w14:textFill>
        </w:rPr>
        <w:t>8.3.</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、8.3.2.4</w:t>
      </w:r>
      <w:r>
        <w:rPr>
          <w:rFonts w:hint="eastAsia" w:ascii="宋体" w:hAnsi="宋体" w:cs="宋体"/>
          <w:color w:val="000000" w:themeColor="text1"/>
          <w:szCs w:val="21"/>
          <w14:textFill>
            <w14:solidFill>
              <w14:schemeClr w14:val="tx1"/>
            </w14:solidFill>
          </w14:textFill>
        </w:rPr>
        <w:t>所要求的固定式灭火系统外，本章所要求的消防系统和设备应满足《国际消防安全系统规则》（</w:t>
      </w:r>
      <w:r>
        <w:rPr>
          <w:color w:val="000000" w:themeColor="text1"/>
          <w14:textFill>
            <w14:solidFill>
              <w14:schemeClr w14:val="tx1"/>
            </w14:solidFill>
          </w14:textFill>
        </w:rPr>
        <w:t>FSS</w:t>
      </w:r>
      <w:r>
        <w:rPr>
          <w:rFonts w:hint="eastAsia" w:ascii="宋体" w:hAnsi="宋体" w:cs="宋体"/>
          <w:color w:val="000000" w:themeColor="text1"/>
          <w:szCs w:val="21"/>
          <w14:textFill>
            <w14:solidFill>
              <w14:schemeClr w14:val="tx1"/>
            </w14:solidFill>
          </w14:textFill>
        </w:rPr>
        <w:t>规则）或本局</w:t>
      </w:r>
      <w:r>
        <w:rPr>
          <w:rFonts w:cs="宋体"/>
          <w:color w:val="000000" w:themeColor="text1"/>
          <w:szCs w:val="21"/>
          <w14:textFill>
            <w14:solidFill>
              <w14:schemeClr w14:val="tx1"/>
            </w14:solidFill>
          </w14:textFill>
        </w:rPr>
        <w:t>对船舶航行水域适用的规则</w:t>
      </w:r>
      <w:r>
        <w:rPr>
          <w:rFonts w:hint="eastAsia" w:ascii="宋体" w:hAnsi="宋体" w:cs="宋体"/>
          <w:color w:val="000000" w:themeColor="text1"/>
          <w:szCs w:val="21"/>
          <w14:textFill>
            <w14:solidFill>
              <w14:schemeClr w14:val="tx1"/>
            </w14:solidFill>
          </w14:textFill>
        </w:rPr>
        <w:t>的要求。</w:t>
      </w:r>
    </w:p>
    <w:p w14:paraId="27488380">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88" w:name="_Toc167869231"/>
      <w:r>
        <w:rPr>
          <w:rFonts w:hint="eastAsia" w:ascii="Times New Roman" w:hAnsi="Times New Roman"/>
          <w:color w:val="000000" w:themeColor="text1"/>
          <w14:textFill>
            <w14:solidFill>
              <w14:schemeClr w14:val="tx1"/>
            </w14:solidFill>
          </w14:textFill>
        </w:rPr>
        <w:t>火灾的限制与探测</w:t>
      </w:r>
      <w:bookmarkEnd w:id="88"/>
    </w:p>
    <w:p w14:paraId="22CCBDB4">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bookmarkStart w:id="89" w:name="_Toc87256661"/>
      <w:bookmarkStart w:id="90" w:name="_Toc111796087"/>
      <w:bookmarkStart w:id="91" w:name="_Toc128424121"/>
      <w:bookmarkStart w:id="92" w:name="_Toc4748511"/>
      <w:bookmarkStart w:id="93" w:name="_Toc20732620"/>
      <w:r>
        <w:rPr>
          <w:rFonts w:hint="eastAsia" w:ascii="黑体" w:hAnsi="黑体" w:eastAsia="黑体"/>
          <w:color w:val="000000" w:themeColor="text1"/>
          <w14:textFill>
            <w14:solidFill>
              <w14:schemeClr w14:val="tx1"/>
            </w14:solidFill>
          </w14:textFill>
        </w:rPr>
        <w:t>结构材料</w:t>
      </w:r>
    </w:p>
    <w:p w14:paraId="4617A63A">
      <w:pPr>
        <w:pStyle w:val="53"/>
        <w:numPr>
          <w:ilvl w:val="3"/>
          <w:numId w:val="39"/>
        </w:numPr>
        <w:spacing w:line="240" w:lineRule="auto"/>
        <w:ind w:left="0" w:firstLine="420" w:firstLineChars="200"/>
        <w:rPr>
          <w:rFonts w:hint="eastAsia" w:ascii="黑体" w:hAnsi="黑体" w:eastAsia="黑体"/>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蓄电池</w:t>
      </w:r>
      <w:r>
        <w:rPr>
          <w:rFonts w:hint="eastAsia"/>
          <w:color w:val="000000" w:themeColor="text1"/>
          <w14:textFill>
            <w14:solidFill>
              <w14:schemeClr w14:val="tx1"/>
            </w14:solidFill>
          </w14:textFill>
        </w:rPr>
        <w:t>舱应采用钢或其他等效材料建造。</w:t>
      </w:r>
    </w:p>
    <w:p w14:paraId="5D15EB11">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耐热和结构性分隔</w:t>
      </w:r>
      <w:bookmarkEnd w:id="89"/>
      <w:bookmarkEnd w:id="90"/>
      <w:bookmarkEnd w:id="91"/>
      <w:bookmarkEnd w:id="92"/>
      <w:bookmarkEnd w:id="93"/>
    </w:p>
    <w:p w14:paraId="372A9D4E">
      <w:pPr>
        <w:pStyle w:val="53"/>
        <w:numPr>
          <w:ilvl w:val="3"/>
          <w:numId w:val="39"/>
        </w:numPr>
        <w:spacing w:line="240" w:lineRule="auto"/>
        <w:ind w:left="0" w:firstLine="420" w:firstLineChars="200"/>
        <w:rPr>
          <w:color w:val="000000" w:themeColor="text1"/>
          <w14:textFill>
            <w14:solidFill>
              <w14:schemeClr w14:val="tx1"/>
            </w14:solidFill>
          </w14:textFill>
        </w:rPr>
      </w:pPr>
      <w:bookmarkStart w:id="94" w:name="_Toc533673568"/>
      <w:bookmarkStart w:id="95" w:name="_Toc4748507"/>
      <w:r>
        <w:rPr>
          <w:rFonts w:hint="eastAsia" w:ascii="宋体" w:hAnsi="宋体" w:cs="宋体"/>
          <w:color w:val="000000" w:themeColor="text1"/>
          <w:szCs w:val="21"/>
          <w14:textFill>
            <w14:solidFill>
              <w14:schemeClr w14:val="tx1"/>
            </w14:solidFill>
          </w14:textFill>
        </w:rPr>
        <w:t>蓄电池</w:t>
      </w:r>
      <w:r>
        <w:rPr>
          <w:rFonts w:hint="eastAsia"/>
          <w:color w:val="000000" w:themeColor="text1"/>
          <w14:textFill>
            <w14:solidFill>
              <w14:schemeClr w14:val="tx1"/>
            </w14:solidFill>
          </w14:textFill>
        </w:rPr>
        <w:t>舱与其相邻处所之间的舱壁和甲板应为“</w:t>
      </w:r>
      <w:r>
        <w:rPr>
          <w:color w:val="000000" w:themeColor="text1"/>
          <w14:textFill>
            <w14:solidFill>
              <w14:schemeClr w14:val="tx1"/>
            </w14:solidFill>
          </w14:textFill>
        </w:rPr>
        <w:t>A-60</w:t>
      </w:r>
      <w:r>
        <w:rPr>
          <w:rFonts w:hint="eastAsia"/>
          <w:color w:val="000000" w:themeColor="text1"/>
          <w14:textFill>
            <w14:solidFill>
              <w14:schemeClr w14:val="tx1"/>
            </w14:solidFill>
          </w14:textFill>
        </w:rPr>
        <w:t>”级分隔的结构，但与空舱、卫生间等无失火危险的处所或开敞处所（货物处所和滚装处所除外）相邻时，上述分隔可为“</w:t>
      </w:r>
      <w:r>
        <w:rPr>
          <w:color w:val="000000" w:themeColor="text1"/>
          <w14:textFill>
            <w14:solidFill>
              <w14:schemeClr w14:val="tx1"/>
            </w14:solidFill>
          </w14:textFill>
        </w:rPr>
        <w:t>A-0</w:t>
      </w:r>
      <w:r>
        <w:rPr>
          <w:rFonts w:hint="eastAsia"/>
          <w:color w:val="000000" w:themeColor="text1"/>
          <w14:textFill>
            <w14:solidFill>
              <w14:schemeClr w14:val="tx1"/>
            </w14:solidFill>
          </w14:textFill>
        </w:rPr>
        <w:t>”级。</w:t>
      </w:r>
    </w:p>
    <w:p w14:paraId="02845EF7">
      <w:pPr>
        <w:pStyle w:val="53"/>
        <w:numPr>
          <w:ilvl w:val="3"/>
          <w:numId w:val="39"/>
        </w:numPr>
        <w:spacing w:line="240" w:lineRule="auto"/>
        <w:ind w:left="0" w:firstLine="420" w:firstLineChars="200"/>
        <w:rPr>
          <w:rFonts w:ascii="宋体"/>
          <w:color w:val="000000" w:themeColor="text1"/>
          <w:sz w:val="22"/>
          <w:szCs w:val="22"/>
          <w14:textFill>
            <w14:solidFill>
              <w14:schemeClr w14:val="tx1"/>
            </w14:solidFill>
          </w14:textFill>
        </w:rPr>
      </w:pPr>
      <w:r>
        <w:rPr>
          <w:rFonts w:hint="eastAsia"/>
          <w:color w:val="000000" w:themeColor="text1"/>
          <w14:textFill>
            <w14:solidFill>
              <w14:schemeClr w14:val="tx1"/>
            </w14:solidFill>
          </w14:textFill>
        </w:rPr>
        <w:t>对于船长大于等于</w:t>
      </w:r>
      <w:r>
        <w:rPr>
          <w:color w:val="000000" w:themeColor="text1"/>
          <w14:textFill>
            <w14:solidFill>
              <w14:schemeClr w14:val="tx1"/>
            </w14:solidFill>
          </w14:textFill>
        </w:rPr>
        <w:t>20m</w:t>
      </w:r>
      <w:r>
        <w:rPr>
          <w:rFonts w:hint="eastAsia"/>
          <w:color w:val="000000" w:themeColor="text1"/>
          <w14:textFill>
            <w14:solidFill>
              <w14:schemeClr w14:val="tx1"/>
            </w14:solidFill>
          </w14:textFill>
        </w:rPr>
        <w:t>的客船，蓄电池舱与外部脱险通道之间的舱壁和甲板应为“</w:t>
      </w:r>
      <w:r>
        <w:rPr>
          <w:color w:val="000000" w:themeColor="text1"/>
          <w14:textFill>
            <w14:solidFill>
              <w14:schemeClr w14:val="tx1"/>
            </w14:solidFill>
          </w14:textFill>
        </w:rPr>
        <w:t>A-60</w:t>
      </w:r>
      <w:r>
        <w:rPr>
          <w:rFonts w:hint="eastAsia"/>
          <w:color w:val="000000" w:themeColor="text1"/>
          <w14:textFill>
            <w14:solidFill>
              <w14:schemeClr w14:val="tx1"/>
            </w14:solidFill>
          </w14:textFill>
        </w:rPr>
        <w:t>”级分隔的结构。对于船长小于</w:t>
      </w:r>
      <w:r>
        <w:rPr>
          <w:color w:val="000000" w:themeColor="text1"/>
          <w14:textFill>
            <w14:solidFill>
              <w14:schemeClr w14:val="tx1"/>
            </w14:solidFill>
          </w14:textFill>
        </w:rPr>
        <w:t>20m</w:t>
      </w:r>
      <w:r>
        <w:rPr>
          <w:rFonts w:hint="eastAsia"/>
          <w:color w:val="000000" w:themeColor="text1"/>
          <w14:textFill>
            <w14:solidFill>
              <w14:schemeClr w14:val="tx1"/>
            </w14:solidFill>
          </w14:textFill>
        </w:rPr>
        <w:t>的客船，此类舱壁和甲板应为“</w:t>
      </w:r>
      <w:r>
        <w:rPr>
          <w:color w:val="000000" w:themeColor="text1"/>
          <w14:textFill>
            <w14:solidFill>
              <w14:schemeClr w14:val="tx1"/>
            </w14:solidFill>
          </w14:textFill>
        </w:rPr>
        <w:t>A-0</w:t>
      </w:r>
      <w:r>
        <w:rPr>
          <w:rFonts w:hint="eastAsia"/>
          <w:color w:val="000000" w:themeColor="text1"/>
          <w14:textFill>
            <w14:solidFill>
              <w14:schemeClr w14:val="tx1"/>
            </w14:solidFill>
          </w14:textFill>
        </w:rPr>
        <w:t>”级分隔的结构。</w:t>
      </w:r>
    </w:p>
    <w:p w14:paraId="49ACBB64">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开口限制</w:t>
      </w:r>
    </w:p>
    <w:p w14:paraId="4046AD58">
      <w:pPr>
        <w:pStyle w:val="53"/>
        <w:numPr>
          <w:ilvl w:val="3"/>
          <w:numId w:val="39"/>
        </w:numPr>
        <w:spacing w:line="240" w:lineRule="auto"/>
        <w:ind w:left="0" w:firstLine="420" w:firstLineChars="200"/>
        <w:rPr>
          <w:bCs w:val="0"/>
          <w:snapToGrid w:val="0"/>
          <w:color w:val="000000" w:themeColor="text1"/>
          <w:kern w:val="2"/>
          <w:szCs w:val="22"/>
          <w14:textFill>
            <w14:solidFill>
              <w14:schemeClr w14:val="tx1"/>
            </w14:solidFill>
          </w14:textFill>
        </w:rPr>
      </w:pPr>
      <w:r>
        <w:rPr>
          <w:rFonts w:hint="eastAsia" w:ascii="宋体" w:hAnsi="宋体" w:cs="宋体"/>
          <w:color w:val="000000" w:themeColor="text1"/>
          <w:szCs w:val="21"/>
          <w14:textFill>
            <w14:solidFill>
              <w14:schemeClr w14:val="tx1"/>
            </w14:solidFill>
          </w14:textFill>
        </w:rPr>
        <w:t>蓄电池</w:t>
      </w:r>
      <w:r>
        <w:rPr>
          <w:rFonts w:hint="eastAsia"/>
          <w:bCs w:val="0"/>
          <w:snapToGrid w:val="0"/>
          <w:color w:val="000000" w:themeColor="text1"/>
          <w:kern w:val="2"/>
          <w:szCs w:val="22"/>
          <w14:textFill>
            <w14:solidFill>
              <w14:schemeClr w14:val="tx1"/>
            </w14:solidFill>
          </w14:textFill>
        </w:rPr>
        <w:t>舱的限界面上不应设置窗和舷窗。</w:t>
      </w:r>
    </w:p>
    <w:p w14:paraId="568CE075">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color w:val="000000" w:themeColor="text1"/>
          <w14:textFill>
            <w14:solidFill>
              <w14:schemeClr w14:val="tx1"/>
            </w14:solidFill>
          </w14:textFill>
        </w:rPr>
      </w:pPr>
      <w:bookmarkStart w:id="96" w:name="_Toc111796088"/>
      <w:bookmarkStart w:id="97" w:name="_Toc20732621"/>
      <w:bookmarkStart w:id="98" w:name="_Toc128424122"/>
      <w:bookmarkStart w:id="99" w:name="_Toc87256662"/>
      <w:r>
        <w:rPr>
          <w:rFonts w:hint="eastAsia" w:ascii="黑体" w:hAnsi="黑体" w:eastAsia="黑体"/>
          <w:color w:val="000000" w:themeColor="text1"/>
          <w14:textFill>
            <w14:solidFill>
              <w14:schemeClr w14:val="tx1"/>
            </w14:solidFill>
          </w14:textFill>
        </w:rPr>
        <w:t>通风系统</w:t>
      </w:r>
      <w:bookmarkEnd w:id="94"/>
      <w:bookmarkEnd w:id="95"/>
      <w:bookmarkEnd w:id="96"/>
      <w:bookmarkEnd w:id="97"/>
      <w:bookmarkEnd w:id="98"/>
      <w:bookmarkEnd w:id="99"/>
    </w:p>
    <w:p w14:paraId="58039E2C">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蓄电池舱如设有机械通风系统</w:t>
      </w:r>
      <w:bookmarkStart w:id="100" w:name="OLE_LINK1"/>
      <w:bookmarkStart w:id="101" w:name="OLE_LINK2"/>
      <w:r>
        <w:rPr>
          <w:rFonts w:hint="eastAsia"/>
          <w:color w:val="000000" w:themeColor="text1"/>
          <w14:textFill>
            <w14:solidFill>
              <w14:schemeClr w14:val="tx1"/>
            </w14:solidFill>
          </w14:textFill>
        </w:rPr>
        <w:t>，该系统应满足下列要求：</w:t>
      </w:r>
      <w:bookmarkEnd w:id="100"/>
      <w:bookmarkEnd w:id="101"/>
    </w:p>
    <w:p w14:paraId="13941AA4">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（1）通风导管应采用钢或其他等效材料制造；</w:t>
      </w:r>
    </w:p>
    <w:p w14:paraId="1FFD7A18">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（2）通风系统的布置应使蓄电池舱的所有空间均能得到有效通风；</w:t>
      </w:r>
    </w:p>
    <w:p w14:paraId="4E7044AE">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（3）每一蓄电池舱的通风系统应独立，并与其他舱室通风系统完全分开；</w:t>
      </w:r>
    </w:p>
    <w:p w14:paraId="3C063576">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（4）对于船长大于等于</w:t>
      </w:r>
      <w:r>
        <w:rPr>
          <w:color w:val="000000" w:themeColor="text1"/>
          <w14:textFill>
            <w14:solidFill>
              <w14:schemeClr w14:val="tx1"/>
            </w14:solidFill>
          </w14:textFill>
        </w:rPr>
        <w:t>20m</w:t>
      </w:r>
      <w:r>
        <w:rPr>
          <w:rFonts w:hint="eastAsia"/>
          <w:color w:val="000000" w:themeColor="text1"/>
          <w14:textFill>
            <w14:solidFill>
              <w14:schemeClr w14:val="tx1"/>
            </w14:solidFill>
          </w14:textFill>
        </w:rPr>
        <w:t>的船舶，蓄电池舱的通风导管不得穿过起居处所、服务处所、控制站、机器处所、滚装处所、车辆处所、特种处所或其他蓄电池舱。如满足本节8</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）的要求，则蓄电池舱的通风导管可穿过起居处所、服务处所（厨房除外）、控制站、机器处所或其他蓄电池舱；</w:t>
      </w:r>
    </w:p>
    <w:p w14:paraId="49CC31BE">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（5）对于船长大于等于</w:t>
      </w:r>
      <w:r>
        <w:rPr>
          <w:color w:val="000000" w:themeColor="text1"/>
          <w14:textFill>
            <w14:solidFill>
              <w14:schemeClr w14:val="tx1"/>
            </w14:solidFill>
          </w14:textFill>
        </w:rPr>
        <w:t>20m</w:t>
      </w:r>
      <w:r>
        <w:rPr>
          <w:rFonts w:hint="eastAsia"/>
          <w:color w:val="000000" w:themeColor="text1"/>
          <w14:textFill>
            <w14:solidFill>
              <w14:schemeClr w14:val="tx1"/>
            </w14:solidFill>
          </w14:textFill>
        </w:rPr>
        <w:t>的船舶，起居处所、服务处所、控制站、机器处所、滚装处所、车辆处所或特种处所的通风导管不得穿过蓄电池舱。如满足本节8</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）的要求，则起居处所、服务处所（厨房除外）、控制站或机器处所的通风导管可穿过蓄电池舱；</w:t>
      </w:r>
    </w:p>
    <w:p w14:paraId="24AE0025">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（6）上述（</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）准许的导管应满足下列两种方案之一：</w:t>
      </w:r>
    </w:p>
    <w:p w14:paraId="3B1E19F3">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①导管为钢质，如其宽度或直径小于等于</w:t>
      </w:r>
      <w:r>
        <w:rPr>
          <w:color w:val="000000" w:themeColor="text1"/>
          <w14:textFill>
            <w14:solidFill>
              <w14:schemeClr w14:val="tx1"/>
            </w14:solidFill>
          </w14:textFill>
        </w:rPr>
        <w:t>300mm</w:t>
      </w:r>
      <w:r>
        <w:rPr>
          <w:rFonts w:hint="eastAsia"/>
          <w:color w:val="000000" w:themeColor="text1"/>
          <w14:textFill>
            <w14:solidFill>
              <w14:schemeClr w14:val="tx1"/>
            </w14:solidFill>
          </w14:textFill>
        </w:rPr>
        <w:t>，所用钢板厚度至少为</w:t>
      </w:r>
      <w:r>
        <w:rPr>
          <w:color w:val="000000" w:themeColor="text1"/>
          <w14:textFill>
            <w14:solidFill>
              <w14:schemeClr w14:val="tx1"/>
            </w14:solidFill>
          </w14:textFill>
        </w:rPr>
        <w:t>3mm</w:t>
      </w:r>
      <w:r>
        <w:rPr>
          <w:rFonts w:hint="eastAsia"/>
          <w:color w:val="000000" w:themeColor="text1"/>
          <w14:textFill>
            <w14:solidFill>
              <w14:schemeClr w14:val="tx1"/>
            </w14:solidFill>
          </w14:textFill>
        </w:rPr>
        <w:t>；如其宽度或直径大于等于</w:t>
      </w:r>
      <w:r>
        <w:rPr>
          <w:color w:val="000000" w:themeColor="text1"/>
          <w14:textFill>
            <w14:solidFill>
              <w14:schemeClr w14:val="tx1"/>
            </w14:solidFill>
          </w14:textFill>
        </w:rPr>
        <w:t>760mm</w:t>
      </w:r>
      <w:r>
        <w:rPr>
          <w:rFonts w:hint="eastAsia"/>
          <w:color w:val="000000" w:themeColor="text1"/>
          <w14:textFill>
            <w14:solidFill>
              <w14:schemeClr w14:val="tx1"/>
            </w14:solidFill>
          </w14:textFill>
        </w:rPr>
        <w:t>，所用钢板厚度至少为</w:t>
      </w:r>
      <w:r>
        <w:rPr>
          <w:color w:val="000000" w:themeColor="text1"/>
          <w14:textFill>
            <w14:solidFill>
              <w14:schemeClr w14:val="tx1"/>
            </w14:solidFill>
          </w14:textFill>
        </w:rPr>
        <w:t>5mm</w:t>
      </w:r>
      <w:r>
        <w:rPr>
          <w:rFonts w:hint="eastAsia"/>
          <w:color w:val="000000" w:themeColor="text1"/>
          <w14:textFill>
            <w14:solidFill>
              <w14:schemeClr w14:val="tx1"/>
            </w14:solidFill>
          </w14:textFill>
        </w:rPr>
        <w:t>；如其宽度或直径在</w:t>
      </w:r>
      <w:r>
        <w:rPr>
          <w:color w:val="000000" w:themeColor="text1"/>
          <w14:textFill>
            <w14:solidFill>
              <w14:schemeClr w14:val="tx1"/>
            </w14:solidFill>
          </w14:textFill>
        </w:rPr>
        <w:t>300mm</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760mm</w:t>
      </w:r>
      <w:r>
        <w:rPr>
          <w:rFonts w:hint="eastAsia"/>
          <w:color w:val="000000" w:themeColor="text1"/>
          <w14:textFill>
            <w14:solidFill>
              <w14:schemeClr w14:val="tx1"/>
            </w14:solidFill>
          </w14:textFill>
        </w:rPr>
        <w:t>之间，所用钢板厚度按内插法求得；</w:t>
      </w:r>
    </w:p>
    <w:p w14:paraId="052C0096">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②导管有适当的支承和加强；</w:t>
      </w:r>
    </w:p>
    <w:p w14:paraId="43C28FB2">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③在靠近导管穿过的限界面处设有自动挡火闸；和</w:t>
      </w:r>
    </w:p>
    <w:p w14:paraId="64BBACBC">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④从其服务处所的边界到每个挡火闸以外至少</w:t>
      </w:r>
      <w:r>
        <w:rPr>
          <w:color w:val="000000" w:themeColor="text1"/>
          <w14:textFill>
            <w14:solidFill>
              <w14:schemeClr w14:val="tx1"/>
            </w14:solidFill>
          </w14:textFill>
        </w:rPr>
        <w:t>5m</w:t>
      </w:r>
      <w:r>
        <w:rPr>
          <w:rFonts w:hint="eastAsia"/>
          <w:color w:val="000000" w:themeColor="text1"/>
          <w14:textFill>
            <w14:solidFill>
              <w14:schemeClr w14:val="tx1"/>
            </w14:solidFill>
          </w14:textFill>
        </w:rPr>
        <w:t>范围内隔热至</w:t>
      </w:r>
      <w:r>
        <w:rPr>
          <w:color w:val="000000" w:themeColor="text1"/>
          <w14:textFill>
            <w14:solidFill>
              <w14:schemeClr w14:val="tx1"/>
            </w14:solidFill>
          </w14:textFill>
        </w:rPr>
        <w:t>“A-60”</w:t>
      </w:r>
      <w:r>
        <w:rPr>
          <w:rFonts w:hint="eastAsia"/>
          <w:color w:val="000000" w:themeColor="text1"/>
          <w14:textFill>
            <w14:solidFill>
              <w14:schemeClr w14:val="tx1"/>
            </w14:solidFill>
          </w14:textFill>
        </w:rPr>
        <w:t>级标准。</w:t>
      </w:r>
    </w:p>
    <w:p w14:paraId="6DA4E9C3">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或</w:t>
      </w:r>
    </w:p>
    <w:p w14:paraId="77857AD7">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①导管为钢质，如其宽度或直径小于等于</w:t>
      </w:r>
      <w:r>
        <w:rPr>
          <w:color w:val="000000" w:themeColor="text1"/>
          <w14:textFill>
            <w14:solidFill>
              <w14:schemeClr w14:val="tx1"/>
            </w14:solidFill>
          </w14:textFill>
        </w:rPr>
        <w:t>300mm</w:t>
      </w:r>
      <w:r>
        <w:rPr>
          <w:rFonts w:hint="eastAsia"/>
          <w:color w:val="000000" w:themeColor="text1"/>
          <w14:textFill>
            <w14:solidFill>
              <w14:schemeClr w14:val="tx1"/>
            </w14:solidFill>
          </w14:textFill>
        </w:rPr>
        <w:t>，所用钢板厚度至少为</w:t>
      </w:r>
      <w:r>
        <w:rPr>
          <w:color w:val="000000" w:themeColor="text1"/>
          <w14:textFill>
            <w14:solidFill>
              <w14:schemeClr w14:val="tx1"/>
            </w14:solidFill>
          </w14:textFill>
        </w:rPr>
        <w:t>3mm</w:t>
      </w:r>
      <w:r>
        <w:rPr>
          <w:rFonts w:hint="eastAsia"/>
          <w:color w:val="000000" w:themeColor="text1"/>
          <w14:textFill>
            <w14:solidFill>
              <w14:schemeClr w14:val="tx1"/>
            </w14:solidFill>
          </w14:textFill>
        </w:rPr>
        <w:t>；如其宽度或直径大于等于</w:t>
      </w:r>
      <w:r>
        <w:rPr>
          <w:color w:val="000000" w:themeColor="text1"/>
          <w14:textFill>
            <w14:solidFill>
              <w14:schemeClr w14:val="tx1"/>
            </w14:solidFill>
          </w14:textFill>
        </w:rPr>
        <w:t>760mm</w:t>
      </w:r>
      <w:r>
        <w:rPr>
          <w:rFonts w:hint="eastAsia"/>
          <w:color w:val="000000" w:themeColor="text1"/>
          <w14:textFill>
            <w14:solidFill>
              <w14:schemeClr w14:val="tx1"/>
            </w14:solidFill>
          </w14:textFill>
        </w:rPr>
        <w:t>，所用钢板厚度至少为</w:t>
      </w:r>
      <w:r>
        <w:rPr>
          <w:color w:val="000000" w:themeColor="text1"/>
          <w14:textFill>
            <w14:solidFill>
              <w14:schemeClr w14:val="tx1"/>
            </w14:solidFill>
          </w14:textFill>
        </w:rPr>
        <w:t>5mm</w:t>
      </w:r>
      <w:r>
        <w:rPr>
          <w:rFonts w:hint="eastAsia"/>
          <w:color w:val="000000" w:themeColor="text1"/>
          <w14:textFill>
            <w14:solidFill>
              <w14:schemeClr w14:val="tx1"/>
            </w14:solidFill>
          </w14:textFill>
        </w:rPr>
        <w:t>；如其宽度或直径在</w:t>
      </w:r>
      <w:r>
        <w:rPr>
          <w:color w:val="000000" w:themeColor="text1"/>
          <w14:textFill>
            <w14:solidFill>
              <w14:schemeClr w14:val="tx1"/>
            </w14:solidFill>
          </w14:textFill>
        </w:rPr>
        <w:t>300mm</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760mm</w:t>
      </w:r>
      <w:r>
        <w:rPr>
          <w:rFonts w:hint="eastAsia"/>
          <w:color w:val="000000" w:themeColor="text1"/>
          <w14:textFill>
            <w14:solidFill>
              <w14:schemeClr w14:val="tx1"/>
            </w14:solidFill>
          </w14:textFill>
        </w:rPr>
        <w:t>之间，所用钢板厚度按内插法求得；</w:t>
      </w:r>
    </w:p>
    <w:p w14:paraId="4D5B50C0">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②导管有适当的支承和加强；和</w:t>
      </w:r>
    </w:p>
    <w:p w14:paraId="55F8CABF">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③在其穿过的所有处所均按“</w:t>
      </w:r>
      <w:r>
        <w:rPr>
          <w:color w:val="000000" w:themeColor="text1"/>
          <w14:textFill>
            <w14:solidFill>
              <w14:schemeClr w14:val="tx1"/>
            </w14:solidFill>
          </w14:textFill>
        </w:rPr>
        <w:t>A-60</w:t>
      </w:r>
      <w:r>
        <w:rPr>
          <w:rFonts w:hint="eastAsia"/>
          <w:color w:val="000000" w:themeColor="text1"/>
          <w14:textFill>
            <w14:solidFill>
              <w14:schemeClr w14:val="tx1"/>
            </w14:solidFill>
          </w14:textFill>
        </w:rPr>
        <w:t>”级标准隔热，但穿过空舱、卫生间及类似处所等极少或无失火危险的处所的导管除外。</w:t>
      </w:r>
    </w:p>
    <w:p w14:paraId="561F4349">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（7）通风口应有防止水和火焰进入的措施，进风口应远离出风口；</w:t>
      </w:r>
    </w:p>
    <w:p w14:paraId="2279DB10">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（8）驾驶室应设有显示所要求的通风能力任何损失的装置；</w:t>
      </w:r>
    </w:p>
    <w:p w14:paraId="6184EC4E">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至少应设有两个能切断风机的控制装置，其中之一应</w:t>
      </w:r>
      <w:r>
        <w:rPr>
          <w:rFonts w:hint="eastAsia"/>
          <w:color w:val="000000" w:themeColor="text1"/>
          <w14:textFill>
            <w14:solidFill>
              <w14:schemeClr w14:val="tx1"/>
            </w14:solidFill>
          </w14:textFill>
        </w:rPr>
        <w:t>位于所服务处所外面易于到达的位置且不被其服务处所的火灾所隔断；</w:t>
      </w:r>
    </w:p>
    <w:p w14:paraId="07A4221F">
      <w:pPr>
        <w:pStyle w:val="31"/>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（10）所有通风口应能在该处所失火时在处所外部予以关闭。</w:t>
      </w:r>
    </w:p>
    <w:p w14:paraId="78467B7D">
      <w:pPr>
        <w:pStyle w:val="53"/>
        <w:numPr>
          <w:ilvl w:val="3"/>
          <w:numId w:val="39"/>
        </w:numPr>
        <w:spacing w:line="240" w:lineRule="auto"/>
        <w:ind w:left="0" w:firstLine="420" w:firstLineChars="200"/>
        <w:rPr>
          <w:color w:val="000000" w:themeColor="text1"/>
          <w14:textFill>
            <w14:solidFill>
              <w14:schemeClr w14:val="tx1"/>
            </w14:solidFill>
          </w14:textFill>
        </w:rPr>
      </w:pPr>
      <w:r>
        <w:rPr>
          <w:rFonts w:hAnsiTheme="minorEastAsia"/>
          <w:color w:val="000000" w:themeColor="text1"/>
          <w14:textFill>
            <w14:solidFill>
              <w14:schemeClr w14:val="tx1"/>
            </w14:solidFill>
          </w14:textFill>
        </w:rPr>
        <w:t>当通风系统</w:t>
      </w:r>
      <w:r>
        <w:rPr>
          <w:rFonts w:hint="eastAsia" w:hAnsiTheme="minorEastAsia"/>
          <w:color w:val="000000" w:themeColor="text1"/>
          <w14:textFill>
            <w14:solidFill>
              <w14:schemeClr w14:val="tx1"/>
            </w14:solidFill>
          </w14:textFill>
        </w:rPr>
        <w:t>与第7章第2节所要求的</w:t>
      </w:r>
      <w:r>
        <w:rPr>
          <w:rFonts w:hAnsiTheme="minorEastAsia"/>
          <w:color w:val="000000" w:themeColor="text1"/>
          <w14:textFill>
            <w14:solidFill>
              <w14:schemeClr w14:val="tx1"/>
            </w14:solidFill>
          </w14:textFill>
        </w:rPr>
        <w:t>应急</w:t>
      </w:r>
      <w:r>
        <w:rPr>
          <w:color w:val="000000" w:themeColor="text1"/>
          <w14:textFill>
            <w14:solidFill>
              <w14:schemeClr w14:val="tx1"/>
            </w14:solidFill>
          </w14:textFill>
        </w:rPr>
        <w:t>排气</w:t>
      </w:r>
      <w:r>
        <w:rPr>
          <w:rFonts w:hAnsiTheme="minorEastAsia"/>
          <w:color w:val="000000" w:themeColor="text1"/>
          <w14:textFill>
            <w14:solidFill>
              <w14:schemeClr w14:val="tx1"/>
            </w14:solidFill>
          </w14:textFill>
        </w:rPr>
        <w:t>系统兼用时，</w:t>
      </w:r>
      <w:r>
        <w:rPr>
          <w:rFonts w:hint="eastAsia" w:hAnsiTheme="minorEastAsia"/>
          <w:color w:val="000000" w:themeColor="text1"/>
          <w14:textFill>
            <w14:solidFill>
              <w14:schemeClr w14:val="tx1"/>
            </w14:solidFill>
          </w14:textFill>
        </w:rPr>
        <w:t>通风系统</w:t>
      </w:r>
      <w:r>
        <w:rPr>
          <w:rFonts w:hAnsiTheme="minorEastAsia"/>
          <w:color w:val="000000" w:themeColor="text1"/>
          <w14:textFill>
            <w14:solidFill>
              <w14:schemeClr w14:val="tx1"/>
            </w14:solidFill>
          </w14:textFill>
        </w:rPr>
        <w:t>应同时</w:t>
      </w:r>
      <w:r>
        <w:rPr>
          <w:rFonts w:hint="eastAsia" w:hAnsiTheme="minorEastAsia"/>
          <w:color w:val="000000" w:themeColor="text1"/>
          <w14:textFill>
            <w14:solidFill>
              <w14:schemeClr w14:val="tx1"/>
            </w14:solidFill>
          </w14:textFill>
        </w:rPr>
        <w:t>满足</w:t>
      </w:r>
      <w:r>
        <w:rPr>
          <w:rFonts w:hAnsiTheme="minorEastAsia"/>
          <w:color w:val="000000" w:themeColor="text1"/>
          <w14:textFill>
            <w14:solidFill>
              <w14:schemeClr w14:val="tx1"/>
            </w14:solidFill>
          </w14:textFill>
        </w:rPr>
        <w:t>应急排气系统</w:t>
      </w:r>
      <w:r>
        <w:rPr>
          <w:rFonts w:hint="eastAsia" w:hAnsiTheme="minorEastAsia"/>
          <w:color w:val="000000" w:themeColor="text1"/>
          <w14:textFill>
            <w14:solidFill>
              <w14:schemeClr w14:val="tx1"/>
            </w14:solidFill>
          </w14:textFill>
        </w:rPr>
        <w:t>的相关</w:t>
      </w:r>
      <w:r>
        <w:rPr>
          <w:rFonts w:hAnsiTheme="minorEastAsia"/>
          <w:color w:val="000000" w:themeColor="text1"/>
          <w14:textFill>
            <w14:solidFill>
              <w14:schemeClr w14:val="tx1"/>
            </w14:solidFill>
          </w14:textFill>
        </w:rPr>
        <w:t>要求。</w:t>
      </w:r>
    </w:p>
    <w:p w14:paraId="025F35F1">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bookmarkStart w:id="102" w:name="_Toc111796089"/>
      <w:bookmarkStart w:id="103" w:name="_Toc4748510"/>
      <w:bookmarkStart w:id="104" w:name="_Toc20732622"/>
      <w:bookmarkStart w:id="105" w:name="_Toc128424123"/>
      <w:bookmarkStart w:id="106" w:name="_Toc87256663"/>
      <w:bookmarkStart w:id="107" w:name="_Toc533673572"/>
      <w:r>
        <w:rPr>
          <w:rFonts w:hint="eastAsia" w:ascii="黑体" w:hAnsi="黑体" w:eastAsia="黑体"/>
          <w:color w:val="000000" w:themeColor="text1"/>
          <w14:textFill>
            <w14:solidFill>
              <w14:schemeClr w14:val="tx1"/>
            </w14:solidFill>
          </w14:textFill>
        </w:rPr>
        <w:t>探火和报警</w:t>
      </w:r>
      <w:bookmarkEnd w:id="102"/>
      <w:bookmarkEnd w:id="103"/>
      <w:bookmarkEnd w:id="104"/>
      <w:bookmarkEnd w:id="105"/>
      <w:bookmarkEnd w:id="106"/>
    </w:p>
    <w:bookmarkEnd w:id="107"/>
    <w:p w14:paraId="68F93F74">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舱以及开敞甲板上的蓄电池箱（柜）应安装固定式探火和失火报警系统。对于开敞甲板上的蓄电池箱（柜），如蓄电池包内设有本章8.3.3.2所规定的热失控/火灾探测报警装置，则蓄电池箱（柜）内可不必设固定式探火和失火报警系统。</w:t>
      </w:r>
    </w:p>
    <w:p w14:paraId="03DBD4D6">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固定式探火和失火报警系统的设计及探测器的安装，应在蓄电池所在处所内的任何部位以及在电池工作的正常状况和环境温度范围内所需的通风变化下，当开始发生火灾时能迅速地探出火灾征兆。该系统应设置感烟探测器或感烟感温组合的探测器。火灾探测器应适用于</w:t>
      </w:r>
      <w:r>
        <w:rPr>
          <w:rFonts w:hint="eastAsia" w:ascii="宋体" w:hAnsi="宋体" w:cs="宋体"/>
          <w:color w:val="000000" w:themeColor="text1"/>
          <w:szCs w:val="21"/>
          <w14:textFill>
            <w14:solidFill>
              <w14:schemeClr w14:val="tx1"/>
            </w14:solidFill>
          </w14:textFill>
        </w:rPr>
        <w:t>电池</w:t>
      </w:r>
      <w:r>
        <w:rPr>
          <w:rFonts w:hint="eastAsia"/>
          <w:color w:val="000000" w:themeColor="text1"/>
          <w14:textFill>
            <w14:solidFill>
              <w14:schemeClr w14:val="tx1"/>
            </w14:solidFill>
          </w14:textFill>
        </w:rPr>
        <w:t>热失控所释放可燃气体与空气混合形成的爆炸性气体环境。</w:t>
      </w:r>
    </w:p>
    <w:p w14:paraId="1CFFA931">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固定式探火和失火报警系统应能远程逐一识别每一探测器。当系统不具备识别单个探测器的功能时，每个探测器应设置成独立的环路。</w:t>
      </w:r>
    </w:p>
    <w:p w14:paraId="74D11979">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固定式</w:t>
      </w:r>
      <w:r>
        <w:rPr>
          <w:rFonts w:hint="eastAsia"/>
          <w:color w:val="000000" w:themeColor="text1"/>
          <w14:textFill>
            <w14:solidFill>
              <w14:schemeClr w14:val="tx1"/>
            </w14:solidFill>
          </w14:textFill>
        </w:rPr>
        <w:t>探火和失火报警系统应由主电源和应急电源两路供电。两路电源应能自动转换。</w:t>
      </w:r>
    </w:p>
    <w:p w14:paraId="3F78035D">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108" w:name="_Toc167869232"/>
      <w:r>
        <w:rPr>
          <w:rFonts w:hint="eastAsia" w:ascii="Times New Roman" w:hAnsi="Times New Roman"/>
          <w:color w:val="000000" w:themeColor="text1"/>
          <w14:textFill>
            <w14:solidFill>
              <w14:schemeClr w14:val="tx1"/>
            </w14:solidFill>
          </w14:textFill>
        </w:rPr>
        <w:t>火灾抑制</w:t>
      </w:r>
      <w:bookmarkEnd w:id="108"/>
    </w:p>
    <w:p w14:paraId="35CDA301">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color w:val="000000" w:themeColor="text1"/>
          <w14:textFill>
            <w14:solidFill>
              <w14:schemeClr w14:val="tx1"/>
            </w14:solidFill>
          </w14:textFill>
        </w:rPr>
      </w:pPr>
      <w:bookmarkStart w:id="109" w:name="_Toc4748513"/>
      <w:bookmarkStart w:id="110" w:name="_Toc533673574"/>
      <w:bookmarkStart w:id="111" w:name="_Toc128424125"/>
      <w:bookmarkStart w:id="112" w:name="_Toc87256665"/>
      <w:bookmarkStart w:id="113" w:name="_Toc20732624"/>
      <w:bookmarkStart w:id="114" w:name="_Toc8659579"/>
      <w:r>
        <w:rPr>
          <w:rFonts w:hint="eastAsia" w:ascii="黑体" w:hAnsi="黑体" w:eastAsia="黑体"/>
          <w:color w:val="000000" w:themeColor="text1"/>
          <w14:textFill>
            <w14:solidFill>
              <w14:schemeClr w14:val="tx1"/>
            </w14:solidFill>
          </w14:textFill>
        </w:rPr>
        <w:t>一般要求</w:t>
      </w:r>
      <w:bookmarkEnd w:id="109"/>
      <w:bookmarkEnd w:id="110"/>
      <w:bookmarkEnd w:id="111"/>
      <w:bookmarkEnd w:id="112"/>
      <w:bookmarkEnd w:id="113"/>
      <w:bookmarkEnd w:id="114"/>
    </w:p>
    <w:p w14:paraId="05B7B0E0">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对需设至少两股消防水柱的船舶，消火栓的数目和布置</w:t>
      </w:r>
      <w:r>
        <w:rPr>
          <w:color w:val="000000" w:themeColor="text1"/>
          <w14:textFill>
            <w14:solidFill>
              <w14:schemeClr w14:val="tx1"/>
            </w14:solidFill>
          </w14:textFill>
        </w:rPr>
        <w:t>应确保至少</w:t>
      </w:r>
      <w:r>
        <w:rPr>
          <w:rFonts w:hint="eastAsia"/>
          <w:color w:val="000000" w:themeColor="text1"/>
          <w14:textFill>
            <w14:solidFill>
              <w14:schemeClr w14:val="tx1"/>
            </w14:solidFill>
          </w14:textFill>
        </w:rPr>
        <w:t>能有两股不是由同一消火栓射出的水柱到达蓄电池舱</w:t>
      </w:r>
      <w:r>
        <w:rPr>
          <w:color w:val="000000" w:themeColor="text1"/>
          <w14:textFill>
            <w14:solidFill>
              <w14:schemeClr w14:val="tx1"/>
            </w14:solidFill>
          </w14:textFill>
        </w:rPr>
        <w:t>或开敞甲板上蓄电池箱（柜）</w:t>
      </w:r>
      <w:r>
        <w:rPr>
          <w:rFonts w:hint="eastAsia"/>
          <w:color w:val="000000" w:themeColor="text1"/>
          <w14:textFill>
            <w14:solidFill>
              <w14:schemeClr w14:val="tx1"/>
            </w14:solidFill>
          </w14:textFill>
        </w:rPr>
        <w:t>的任何部位，其中一股仅用一根消防水带即可。对仅需设一股消防水柱的船舶，消火栓的数目和布置</w:t>
      </w:r>
      <w:r>
        <w:rPr>
          <w:color w:val="000000" w:themeColor="text1"/>
          <w14:textFill>
            <w14:solidFill>
              <w14:schemeClr w14:val="tx1"/>
            </w14:solidFill>
          </w14:textFill>
        </w:rPr>
        <w:t>应确保</w:t>
      </w:r>
      <w:r>
        <w:rPr>
          <w:rFonts w:hint="eastAsia"/>
          <w:color w:val="000000" w:themeColor="text1"/>
          <w14:textFill>
            <w14:solidFill>
              <w14:schemeClr w14:val="tx1"/>
            </w14:solidFill>
          </w14:textFill>
        </w:rPr>
        <w:t>有一股水柱到达蓄电池舱</w:t>
      </w:r>
      <w:r>
        <w:rPr>
          <w:color w:val="000000" w:themeColor="text1"/>
          <w14:textFill>
            <w14:solidFill>
              <w14:schemeClr w14:val="tx1"/>
            </w14:solidFill>
          </w14:textFill>
        </w:rPr>
        <w:t>或开敞甲板上蓄电池箱（柜）</w:t>
      </w:r>
      <w:r>
        <w:rPr>
          <w:rFonts w:hint="eastAsia"/>
          <w:color w:val="000000" w:themeColor="text1"/>
          <w14:textFill>
            <w14:solidFill>
              <w14:schemeClr w14:val="tx1"/>
            </w14:solidFill>
          </w14:textFill>
        </w:rPr>
        <w:t>的任何部位。上述保护范围内的水枪应采用</w:t>
      </w:r>
      <w:r>
        <w:rPr>
          <w:color w:val="000000" w:themeColor="text1"/>
          <w14:textFill>
            <w14:solidFill>
              <w14:schemeClr w14:val="tx1"/>
            </w14:solidFill>
          </w14:textFill>
        </w:rPr>
        <w:t>水柱/水雾两用型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应有措施保证当任一蓄电池舱或开敞甲板上蓄电池箱（柜）失火时消防泵仍能正常工作。消火栓应设在船上适当位置，避免蓄电池舱或开敞甲板上蓄电池箱（柜）的失火导致船员无法接近。</w:t>
      </w:r>
    </w:p>
    <w:p w14:paraId="3013A09C">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对于未设置水灭火系统的船舶，应在蓄电池舱或开敞甲板上蓄电池箱（柜）附近至少备有2只带适当长度绳子的消防水桶，船上已配备消防水桶的除外。</w:t>
      </w:r>
    </w:p>
    <w:p w14:paraId="532732E0">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bookmarkStart w:id="115" w:name="_Toc20732625"/>
      <w:bookmarkStart w:id="116" w:name="_Toc87256666"/>
      <w:bookmarkStart w:id="117" w:name="_Toc128424126"/>
      <w:r>
        <w:rPr>
          <w:rFonts w:hint="eastAsia" w:ascii="黑体" w:hAnsi="黑体" w:eastAsia="黑体"/>
          <w:color w:val="000000" w:themeColor="text1"/>
          <w14:textFill>
            <w14:solidFill>
              <w14:schemeClr w14:val="tx1"/>
            </w14:solidFill>
          </w14:textFill>
        </w:rPr>
        <w:t>蓄电池舱固定式灭火系统</w:t>
      </w:r>
      <w:bookmarkEnd w:id="115"/>
      <w:bookmarkEnd w:id="116"/>
      <w:bookmarkEnd w:id="117"/>
    </w:p>
    <w:p w14:paraId="331025EF">
      <w:pPr>
        <w:pStyle w:val="53"/>
        <w:numPr>
          <w:ilvl w:val="3"/>
          <w:numId w:val="39"/>
        </w:numPr>
        <w:spacing w:line="240" w:lineRule="auto"/>
        <w:ind w:left="0"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除能量型超级电容器处所外，</w:t>
      </w:r>
      <w:r>
        <w:rPr>
          <w:rFonts w:hint="eastAsia"/>
          <w:color w:val="000000" w:themeColor="text1"/>
          <w:szCs w:val="21"/>
          <w14:textFill>
            <w14:solidFill>
              <w14:schemeClr w14:val="tx1"/>
            </w14:solidFill>
          </w14:textFill>
        </w:rPr>
        <w:t>对于</w:t>
      </w:r>
      <w:r>
        <w:rPr>
          <w:color w:val="000000" w:themeColor="text1"/>
          <w:szCs w:val="21"/>
          <w14:textFill>
            <w14:solidFill>
              <w14:schemeClr w14:val="tx1"/>
            </w14:solidFill>
          </w14:textFill>
        </w:rPr>
        <w:t>甲板</w:t>
      </w:r>
      <w:r>
        <w:rPr>
          <w:rFonts w:ascii="宋体" w:hAnsi="宋体" w:cs="宋体"/>
          <w:color w:val="000000" w:themeColor="text1"/>
          <w:szCs w:val="21"/>
          <w14:textFill>
            <w14:solidFill>
              <w14:schemeClr w14:val="tx1"/>
            </w14:solidFill>
          </w14:textFill>
        </w:rPr>
        <w:t>面积</w:t>
      </w:r>
      <w:r>
        <w:rPr>
          <w:color w:val="000000" w:themeColor="text1"/>
          <w:szCs w:val="21"/>
          <w14:textFill>
            <w14:solidFill>
              <w14:schemeClr w14:val="tx1"/>
            </w14:solidFill>
          </w14:textFill>
        </w:rPr>
        <w:t>大于等于4m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的蓄电池舱</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应设置下列固定式灭火系统之一进行保护：</w:t>
      </w:r>
    </w:p>
    <w:p w14:paraId="075A5D0C">
      <w:pPr>
        <w:pStyle w:val="58"/>
        <w:numPr>
          <w:ilvl w:val="0"/>
          <w:numId w:val="50"/>
        </w:numPr>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七氟丙烷灭火系统</w:t>
      </w:r>
      <w:r>
        <w:rPr>
          <w:rFonts w:ascii="Times New Roman" w:hAnsi="Times New Roman"/>
          <w:color w:val="000000" w:themeColor="text1"/>
          <w:szCs w:val="21"/>
          <w:vertAlign w:val="superscript"/>
          <w14:textFill>
            <w14:solidFill>
              <w14:schemeClr w14:val="tx1"/>
            </w14:solidFill>
          </w14:textFill>
        </w:rPr>
        <w:footnoteReference w:id="0"/>
      </w:r>
      <w:r>
        <w:rPr>
          <w:rFonts w:ascii="Times New Roman" w:hAnsi="Times New Roman"/>
          <w:color w:val="000000" w:themeColor="text1"/>
          <w:szCs w:val="21"/>
          <w14:textFill>
            <w14:solidFill>
              <w14:schemeClr w14:val="tx1"/>
            </w14:solidFill>
          </w14:textFill>
        </w:rPr>
        <w:t>，其</w:t>
      </w:r>
      <w:r>
        <w:rPr>
          <w:rFonts w:ascii="Times New Roman" w:hAnsi="Times New Roman"/>
          <w:color w:val="000000" w:themeColor="text1"/>
          <w:szCs w:val="21"/>
          <w:shd w:val="clear" w:color="auto" w:fill="FFFFFF" w:themeFill="background1"/>
          <w14:textFill>
            <w14:solidFill>
              <w14:schemeClr w14:val="tx1"/>
            </w14:solidFill>
          </w14:textFill>
        </w:rPr>
        <w:t>设计灭火浓度应至少为9%。该系统尚应配备与所需灭火剂同等数量的备用灭火剂、气瓶和相关管路附件，以便随时可用</w:t>
      </w:r>
      <w:r>
        <w:rPr>
          <w:rFonts w:hint="eastAsia" w:ascii="Times New Roman" w:hAnsi="Times New Roman"/>
          <w:color w:val="000000" w:themeColor="text1"/>
          <w:szCs w:val="21"/>
          <w:shd w:val="clear" w:color="auto" w:fill="FFFFFF" w:themeFill="background1"/>
          <w14:textFill>
            <w14:solidFill>
              <w14:schemeClr w14:val="tx1"/>
            </w14:solidFill>
          </w14:textFill>
        </w:rPr>
        <w:t>，所需灭火剂和备用灭火剂应能分别进行释放</w:t>
      </w:r>
      <w:r>
        <w:rPr>
          <w:rFonts w:ascii="Times New Roman" w:hAnsi="Times New Roman"/>
          <w:color w:val="000000" w:themeColor="text1"/>
          <w:szCs w:val="21"/>
          <w:shd w:val="clear" w:color="auto" w:fill="FFFFFF" w:themeFill="background1"/>
          <w14:textFill>
            <w14:solidFill>
              <w14:schemeClr w14:val="tx1"/>
            </w14:solidFill>
          </w14:textFill>
        </w:rPr>
        <w:t>。</w:t>
      </w:r>
      <w:r>
        <w:rPr>
          <w:rFonts w:ascii="Times New Roman" w:hAnsi="Times New Roman"/>
          <w:color w:val="000000" w:themeColor="text1"/>
          <w:szCs w:val="21"/>
          <w14:textFill>
            <w14:solidFill>
              <w14:schemeClr w14:val="tx1"/>
            </w14:solidFill>
          </w14:textFill>
        </w:rPr>
        <w:t>如蓄电池包内设有本节8.3.</w:t>
      </w:r>
      <w:r>
        <w:rPr>
          <w:rFonts w:hint="eastAsia" w:ascii="Times New Roman" w:hAnsi="Times New Roman"/>
          <w:color w:val="000000" w:themeColor="text1"/>
          <w:szCs w:val="21"/>
          <w14:textFill>
            <w14:solidFill>
              <w14:schemeClr w14:val="tx1"/>
            </w14:solidFill>
          </w14:textFill>
        </w:rPr>
        <w:t>3</w:t>
      </w:r>
      <w:r>
        <w:rPr>
          <w:rFonts w:ascii="Times New Roman" w:hAnsi="Times New Roman"/>
          <w:color w:val="000000" w:themeColor="text1"/>
          <w:szCs w:val="21"/>
          <w14:textFill>
            <w14:solidFill>
              <w14:schemeClr w14:val="tx1"/>
            </w14:solidFill>
          </w14:textFill>
        </w:rPr>
        <w:t>所规定的</w:t>
      </w:r>
      <w:r>
        <w:rPr>
          <w:rFonts w:hint="eastAsia" w:ascii="Times New Roman" w:hAnsi="Times New Roman"/>
          <w:color w:val="000000" w:themeColor="text1"/>
          <w:szCs w:val="21"/>
          <w14:textFill>
            <w14:solidFill>
              <w14:schemeClr w14:val="tx1"/>
            </w14:solidFill>
          </w14:textFill>
        </w:rPr>
        <w:t>火灾防控措施</w:t>
      </w:r>
      <w:r>
        <w:rPr>
          <w:rFonts w:ascii="Times New Roman" w:hAnsi="Times New Roman"/>
          <w:color w:val="000000" w:themeColor="text1"/>
          <w:szCs w:val="21"/>
          <w14:textFill>
            <w14:solidFill>
              <w14:schemeClr w14:val="tx1"/>
            </w14:solidFill>
          </w14:textFill>
        </w:rPr>
        <w:t>，则可不必配备备用灭火剂；</w:t>
      </w:r>
    </w:p>
    <w:p w14:paraId="57F387F2">
      <w:pPr>
        <w:pStyle w:val="58"/>
        <w:numPr>
          <w:ilvl w:val="0"/>
          <w:numId w:val="50"/>
        </w:numPr>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二氧化碳灭火系统，其灭火剂数量应按该处所总容积的至少40%进行设计。该系统尚应配备与所需灭火剂同等数量的备用灭火剂、气瓶和相关管路附件，以便随时可用</w:t>
      </w:r>
      <w:r>
        <w:rPr>
          <w:rFonts w:hint="eastAsia" w:ascii="Times New Roman" w:hAnsi="Times New Roman"/>
          <w:color w:val="000000" w:themeColor="text1"/>
          <w:szCs w:val="21"/>
          <w14:textFill>
            <w14:solidFill>
              <w14:schemeClr w14:val="tx1"/>
            </w14:solidFill>
          </w14:textFill>
        </w:rPr>
        <w:t>，所需灭火剂和备用灭火剂应能分别进行释放</w:t>
      </w:r>
      <w:r>
        <w:rPr>
          <w:rFonts w:ascii="Times New Roman" w:hAnsi="Times New Roman"/>
          <w:color w:val="000000" w:themeColor="text1"/>
          <w:szCs w:val="21"/>
          <w14:textFill>
            <w14:solidFill>
              <w14:schemeClr w14:val="tx1"/>
            </w14:solidFill>
          </w14:textFill>
        </w:rPr>
        <w:t>。如蓄电池包内设有本节8.3.3所规定的</w:t>
      </w:r>
      <w:r>
        <w:rPr>
          <w:rFonts w:hint="eastAsia" w:ascii="Times New Roman" w:hAnsi="Times New Roman"/>
          <w:color w:val="000000" w:themeColor="text1"/>
          <w:szCs w:val="21"/>
          <w14:textFill>
            <w14:solidFill>
              <w14:schemeClr w14:val="tx1"/>
            </w14:solidFill>
          </w14:textFill>
        </w:rPr>
        <w:t>火灾防控措施</w:t>
      </w:r>
      <w:r>
        <w:rPr>
          <w:rFonts w:ascii="Times New Roman" w:hAnsi="Times New Roman"/>
          <w:color w:val="000000" w:themeColor="text1"/>
          <w:szCs w:val="21"/>
          <w14:textFill>
            <w14:solidFill>
              <w14:schemeClr w14:val="tx1"/>
            </w14:solidFill>
          </w14:textFill>
        </w:rPr>
        <w:t>，则可不必配备备用灭火剂。</w:t>
      </w:r>
    </w:p>
    <w:p w14:paraId="17E070B6">
      <w:pPr>
        <w:pStyle w:val="53"/>
        <w:numPr>
          <w:ilvl w:val="3"/>
          <w:numId w:val="39"/>
        </w:numPr>
        <w:spacing w:line="240" w:lineRule="auto"/>
        <w:ind w:left="0"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除能量型超级电容器处所外，</w:t>
      </w:r>
      <w:r>
        <w:rPr>
          <w:rFonts w:hint="eastAsia"/>
          <w:color w:val="000000" w:themeColor="text1"/>
          <w:szCs w:val="21"/>
          <w14:textFill>
            <w14:solidFill>
              <w14:schemeClr w14:val="tx1"/>
            </w14:solidFill>
          </w14:textFill>
        </w:rPr>
        <w:t>对于</w:t>
      </w:r>
      <w:r>
        <w:rPr>
          <w:color w:val="000000" w:themeColor="text1"/>
          <w:szCs w:val="21"/>
          <w14:textFill>
            <w14:solidFill>
              <w14:schemeClr w14:val="tx1"/>
            </w14:solidFill>
          </w14:textFill>
        </w:rPr>
        <w:t>甲板面积小于4m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的蓄电池舱</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应设置满足下列要求的固定式灭火系统进行保护：</w:t>
      </w:r>
    </w:p>
    <w:p w14:paraId="66A4ED90">
      <w:pPr>
        <w:pStyle w:val="31"/>
        <w:ind w:firstLine="420"/>
        <w:jc w:val="both"/>
        <w:rPr>
          <w:color w:val="000000" w:themeColor="text1"/>
          <w:szCs w:val="21"/>
          <w14:textFill>
            <w14:solidFill>
              <w14:schemeClr w14:val="tx1"/>
            </w14:solidFill>
          </w14:textFill>
        </w:rPr>
      </w:pPr>
      <w:r>
        <w:rPr>
          <w:color w:val="000000" w:themeColor="text1"/>
          <w:szCs w:val="21"/>
          <w14:textFill>
            <w14:solidFill>
              <w14:schemeClr w14:val="tx1"/>
            </w14:solidFill>
          </w14:textFill>
        </w:rPr>
        <w:t>（1）固定式灭火系统的部件应可靠地紧固于船体结构上，以承受正常运行时的运动、冲击和振动。气瓶、管路和阀件应集中布置在专用的箱柜中。该箱柜应位于干舷甲板以上的开敞位置，箱柜的门应便于及时开启。箱柜内或其附近应有足够的照明，除了主照明以外，还应有应急照明；</w:t>
      </w:r>
    </w:p>
    <w:p w14:paraId="49EAA106">
      <w:pPr>
        <w:pStyle w:val="31"/>
        <w:ind w:firstLine="420"/>
        <w:jc w:val="both"/>
        <w:rPr>
          <w:color w:val="000000" w:themeColor="text1"/>
          <w:szCs w:val="21"/>
          <w14:textFill>
            <w14:solidFill>
              <w14:schemeClr w14:val="tx1"/>
            </w14:solidFill>
          </w14:textFill>
        </w:rPr>
      </w:pPr>
      <w:r>
        <w:rPr>
          <w:color w:val="000000" w:themeColor="text1"/>
          <w:szCs w:val="21"/>
          <w14:textFill>
            <w14:solidFill>
              <w14:schemeClr w14:val="tx1"/>
            </w14:solidFill>
          </w14:textFill>
        </w:rPr>
        <w:t>（2）释放装置应为可见或其部位应有可见的标记，并应标明受其保护的处所。释放装置应在受其保护的处所失火时易于到达处进行施放。在施放装置附近应设有该系统的操作说明；</w:t>
      </w:r>
    </w:p>
    <w:p w14:paraId="726692DD">
      <w:pPr>
        <w:pStyle w:val="31"/>
        <w:ind w:firstLine="420"/>
        <w:jc w:val="both"/>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）灭火剂的类型及数量应满足本节8.3.2.1的要求，但所需灭火剂和备用灭火剂可储存在同一气瓶内。如</w:t>
      </w:r>
      <w:r>
        <w:rPr>
          <w:rFonts w:hint="eastAsia"/>
          <w:color w:val="000000" w:themeColor="text1"/>
          <w:szCs w:val="21"/>
          <w14:textFill>
            <w14:solidFill>
              <w14:schemeClr w14:val="tx1"/>
            </w14:solidFill>
          </w14:textFill>
        </w:rPr>
        <w:t>蓄</w:t>
      </w:r>
      <w:r>
        <w:rPr>
          <w:color w:val="000000" w:themeColor="text1"/>
          <w:szCs w:val="21"/>
          <w14:textFill>
            <w14:solidFill>
              <w14:schemeClr w14:val="tx1"/>
            </w14:solidFill>
          </w14:textFill>
        </w:rPr>
        <w:t>电池包内设有本节8.3.3所规定的</w:t>
      </w:r>
      <w:r>
        <w:rPr>
          <w:rFonts w:hint="eastAsia"/>
          <w:color w:val="000000" w:themeColor="text1"/>
          <w:szCs w:val="21"/>
          <w14:textFill>
            <w14:solidFill>
              <w14:schemeClr w14:val="tx1"/>
            </w14:solidFill>
          </w14:textFill>
        </w:rPr>
        <w:t>火灾防控措施</w:t>
      </w:r>
      <w:r>
        <w:rPr>
          <w:color w:val="000000" w:themeColor="text1"/>
          <w:szCs w:val="21"/>
          <w14:textFill>
            <w14:solidFill>
              <w14:schemeClr w14:val="tx1"/>
            </w14:solidFill>
          </w14:textFill>
        </w:rPr>
        <w:t>，则可不必配备备用灭火剂。</w:t>
      </w:r>
    </w:p>
    <w:p w14:paraId="75992DB2">
      <w:pPr>
        <w:pStyle w:val="53"/>
        <w:numPr>
          <w:ilvl w:val="3"/>
          <w:numId w:val="39"/>
        </w:numPr>
        <w:spacing w:line="240" w:lineRule="auto"/>
        <w:ind w:left="0" w:firstLine="420" w:firstLineChars="200"/>
        <w:rPr>
          <w:color w:val="000000" w:themeColor="text1"/>
          <w:szCs w:val="21"/>
          <w14:textFill>
            <w14:solidFill>
              <w14:schemeClr w14:val="tx1"/>
            </w14:solidFill>
          </w14:textFill>
        </w:rPr>
      </w:pPr>
      <w:bookmarkStart w:id="118" w:name="_Toc87256667"/>
      <w:bookmarkStart w:id="119" w:name="_Toc128424127"/>
      <w:r>
        <w:rPr>
          <w:rFonts w:hint="eastAsia"/>
          <w:color w:val="000000" w:themeColor="text1"/>
          <w:szCs w:val="21"/>
          <w14:textFill>
            <w14:solidFill>
              <w14:schemeClr w14:val="tx1"/>
            </w14:solidFill>
          </w14:textFill>
        </w:rPr>
        <w:t>对于人员可进入的蓄电池舱，应设有释放灭火剂的</w:t>
      </w:r>
      <w:r>
        <w:rPr>
          <w:color w:val="000000" w:themeColor="text1"/>
          <w:szCs w:val="21"/>
          <w14:textFill>
            <w14:solidFill>
              <w14:schemeClr w14:val="tx1"/>
            </w14:solidFill>
          </w14:textFill>
        </w:rPr>
        <w:t>视觉和听觉报警信号</w:t>
      </w:r>
      <w:r>
        <w:rPr>
          <w:rFonts w:hint="eastAsia"/>
          <w:color w:val="000000" w:themeColor="text1"/>
          <w:szCs w:val="21"/>
          <w14:textFill>
            <w14:solidFill>
              <w14:schemeClr w14:val="tx1"/>
            </w14:solidFill>
          </w14:textFill>
        </w:rPr>
        <w:t>。释放预报警应能自动启动，如通过打开释放箱的门启动。预报警信号的时间应至少为人员撤离蓄电池舱所需的时间，且在灭火剂释放前应不少于20s。</w:t>
      </w:r>
    </w:p>
    <w:p w14:paraId="5AFEE7C8">
      <w:pPr>
        <w:pStyle w:val="53"/>
        <w:numPr>
          <w:ilvl w:val="3"/>
          <w:numId w:val="39"/>
        </w:numPr>
        <w:spacing w:line="276" w:lineRule="auto"/>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对于开敞甲板上的蓄电池箱（柜），应设置</w:t>
      </w:r>
      <w:r>
        <w:rPr>
          <w:color w:val="000000" w:themeColor="text1"/>
          <w:szCs w:val="21"/>
          <w14:textFill>
            <w14:solidFill>
              <w14:schemeClr w14:val="tx1"/>
            </w14:solidFill>
          </w14:textFill>
        </w:rPr>
        <w:t>满足</w:t>
      </w:r>
      <w:r>
        <w:rPr>
          <w:rFonts w:hint="eastAsia"/>
          <w:color w:val="000000" w:themeColor="text1"/>
          <w:szCs w:val="21"/>
          <w14:textFill>
            <w14:solidFill>
              <w14:schemeClr w14:val="tx1"/>
            </w14:solidFill>
          </w14:textFill>
        </w:rPr>
        <w:t>本节8.3.2.2所</w:t>
      </w:r>
      <w:r>
        <w:rPr>
          <w:color w:val="000000" w:themeColor="text1"/>
          <w:szCs w:val="21"/>
          <w14:textFill>
            <w14:solidFill>
              <w14:schemeClr w14:val="tx1"/>
            </w14:solidFill>
          </w14:textFill>
        </w:rPr>
        <w:t>要求的</w:t>
      </w:r>
      <w:r>
        <w:rPr>
          <w:rFonts w:hint="eastAsia"/>
          <w:color w:val="000000" w:themeColor="text1"/>
          <w14:textFill>
            <w14:solidFill>
              <w14:schemeClr w14:val="tx1"/>
            </w14:solidFill>
          </w14:textFill>
        </w:rPr>
        <w:t>固定式灭火系统</w:t>
      </w:r>
      <w:r>
        <w:rPr>
          <w:rFonts w:hint="eastAsia"/>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如蓄电池包内设有本节8.3.3所规定的</w:t>
      </w:r>
      <w:r>
        <w:rPr>
          <w:rFonts w:hint="eastAsia"/>
          <w:color w:val="000000" w:themeColor="text1"/>
          <w:szCs w:val="21"/>
          <w14:textFill>
            <w14:solidFill>
              <w14:schemeClr w14:val="tx1"/>
            </w14:solidFill>
          </w14:textFill>
        </w:rPr>
        <w:t>火灾防控措施</w:t>
      </w:r>
      <w:r>
        <w:rPr>
          <w:rFonts w:hint="eastAsia"/>
          <w:color w:val="000000" w:themeColor="text1"/>
          <w14:textFill>
            <w14:solidFill>
              <w14:schemeClr w14:val="tx1"/>
            </w14:solidFill>
          </w14:textFill>
        </w:rPr>
        <w:t>，则蓄电池箱（柜）可不必设置上述固定式灭火系统。</w:t>
      </w:r>
    </w:p>
    <w:p w14:paraId="2B182456">
      <w:pPr>
        <w:pStyle w:val="53"/>
        <w:numPr>
          <w:ilvl w:val="3"/>
          <w:numId w:val="39"/>
        </w:numPr>
        <w:spacing w:line="276" w:lineRule="auto"/>
        <w:ind w:left="0"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能量型超级电容器处所应设置固定式二氧化碳灭火系统或七氟丙烷灭火系统进行保护，所需的灭火剂数量应分别按该处所总容积的至少40%或按设计灭火浓度至少9%进行设计。</w:t>
      </w:r>
    </w:p>
    <w:p w14:paraId="2F922478">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蓄电池包火灾防控措施</w:t>
      </w:r>
      <w:bookmarkEnd w:id="118"/>
      <w:bookmarkEnd w:id="119"/>
    </w:p>
    <w:p w14:paraId="30F43E1A">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如蓄电池包</w:t>
      </w:r>
      <w:r>
        <w:rPr>
          <w:color w:val="000000" w:themeColor="text1"/>
          <w14:textFill>
            <w14:solidFill>
              <w14:schemeClr w14:val="tx1"/>
            </w14:solidFill>
          </w14:textFill>
        </w:rPr>
        <w:t>IP</w:t>
      </w:r>
      <w:r>
        <w:rPr>
          <w:rFonts w:hint="eastAsia"/>
          <w:color w:val="000000" w:themeColor="text1"/>
          <w14:textFill>
            <w14:solidFill>
              <w14:schemeClr w14:val="tx1"/>
            </w14:solidFill>
          </w14:textFill>
        </w:rPr>
        <w:t>等级不利于本节</w:t>
      </w:r>
      <w:r>
        <w:rPr>
          <w:color w:val="000000" w:themeColor="text1"/>
          <w14:textFill>
            <w14:solidFill>
              <w14:schemeClr w14:val="tx1"/>
            </w14:solidFill>
          </w14:textFill>
        </w:rPr>
        <w:t>8.3.2</w:t>
      </w:r>
      <w:r>
        <w:rPr>
          <w:rFonts w:hint="eastAsia"/>
          <w:color w:val="000000" w:themeColor="text1"/>
          <w14:textFill>
            <w14:solidFill>
              <w14:schemeClr w14:val="tx1"/>
            </w14:solidFill>
          </w14:textFill>
        </w:rPr>
        <w:t>所述的灭火剂进入，则蓄电池包应设有独立的火灾防控措施，如蓄电池包的设计可防止蓄电池单体间热失控扩散，或采用抑制介质（如硅油）浸没，或设置满足本节</w:t>
      </w:r>
      <w:r>
        <w:rPr>
          <w:color w:val="000000" w:themeColor="text1"/>
          <w14:textFill>
            <w14:solidFill>
              <w14:schemeClr w14:val="tx1"/>
            </w14:solidFill>
          </w14:textFill>
        </w:rPr>
        <w:t>8.3.3.2</w:t>
      </w:r>
      <w:r>
        <w:rPr>
          <w:rFonts w:hint="eastAsia"/>
          <w:color w:val="000000" w:themeColor="text1"/>
          <w14:textFill>
            <w14:solidFill>
              <w14:schemeClr w14:val="tx1"/>
            </w14:solidFill>
          </w14:textFill>
        </w:rPr>
        <w:t>要求的火灾防控装置。</w:t>
      </w:r>
    </w:p>
    <w:p w14:paraId="27759D35">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蓄电池包</w:t>
      </w:r>
      <w:r>
        <w:rPr>
          <w:color w:val="000000" w:themeColor="text1"/>
          <w14:textFill>
            <w14:solidFill>
              <w14:schemeClr w14:val="tx1"/>
            </w14:solidFill>
          </w14:textFill>
        </w:rPr>
        <w:t>火灾防控装置</w:t>
      </w:r>
      <w:r>
        <w:rPr>
          <w:color w:val="000000" w:themeColor="text1"/>
          <w:kern w:val="2"/>
          <w14:textFill>
            <w14:solidFill>
              <w14:schemeClr w14:val="tx1"/>
            </w14:solidFill>
          </w14:textFill>
        </w:rPr>
        <w:t>应能对可能引发</w:t>
      </w:r>
      <w:r>
        <w:rPr>
          <w:rFonts w:hint="eastAsia"/>
          <w:color w:val="000000" w:themeColor="text1"/>
          <w14:textFill>
            <w14:solidFill>
              <w14:schemeClr w14:val="tx1"/>
            </w14:solidFill>
          </w14:textFill>
        </w:rPr>
        <w:t>热失控/</w:t>
      </w:r>
      <w:r>
        <w:rPr>
          <w:color w:val="000000" w:themeColor="text1"/>
          <w:kern w:val="2"/>
          <w14:textFill>
            <w14:solidFill>
              <w14:schemeClr w14:val="tx1"/>
            </w14:solidFill>
          </w14:textFill>
        </w:rPr>
        <w:t>火灾的危险源征兆进行探测，并发出视觉和听觉报警，自动和/或手动启动喷放抑制介质。</w:t>
      </w:r>
      <w:r>
        <w:rPr>
          <w:rFonts w:hint="eastAsia"/>
          <w:color w:val="000000" w:themeColor="text1"/>
          <w14:textFill>
            <w14:solidFill>
              <w14:schemeClr w14:val="tx1"/>
            </w14:solidFill>
          </w14:textFill>
        </w:rPr>
        <w:t>该装置应至少满足下列要求：</w:t>
      </w:r>
    </w:p>
    <w:p w14:paraId="065402F6">
      <w:pPr>
        <w:pStyle w:val="58"/>
        <w:numPr>
          <w:ilvl w:val="0"/>
          <w:numId w:val="51"/>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应与所使用的电池化学特性相符；</w:t>
      </w:r>
    </w:p>
    <w:p w14:paraId="57252A56">
      <w:pPr>
        <w:pStyle w:val="58"/>
        <w:numPr>
          <w:ilvl w:val="0"/>
          <w:numId w:val="51"/>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当该装置所保护的蓄电池包数</w:t>
      </w:r>
      <w:r>
        <w:rPr>
          <w:rFonts w:ascii="Times New Roman"/>
          <w:color w:val="000000" w:themeColor="text1"/>
          <w14:textFill>
            <w14:solidFill>
              <w14:schemeClr w14:val="tx1"/>
            </w14:solidFill>
          </w14:textFill>
        </w:rPr>
        <w:t>量大于</w:t>
      </w:r>
      <w:r>
        <w:rPr>
          <w:rFonts w:ascii="Times New Roman" w:hAnsi="Times New Roman"/>
          <w:color w:val="000000" w:themeColor="text1"/>
          <w14:textFill>
            <w14:solidFill>
              <w14:schemeClr w14:val="tx1"/>
            </w14:solidFill>
          </w14:textFill>
        </w:rPr>
        <w:t>8</w:t>
      </w:r>
      <w:r>
        <w:rPr>
          <w:rFonts w:ascii="Times New Roman"/>
          <w:color w:val="000000" w:themeColor="text1"/>
          <w14:textFill>
            <w14:solidFill>
              <w14:schemeClr w14:val="tx1"/>
            </w14:solidFill>
          </w14:textFill>
        </w:rPr>
        <w:t>个时，应将这些蓄电池包划分为不同的分区进行控制，每一分区所保护的蓄电池包不应超过</w:t>
      </w:r>
      <w:r>
        <w:rPr>
          <w:rFonts w:ascii="Times New Roman" w:hAnsi="Times New Roman"/>
          <w:color w:val="000000" w:themeColor="text1"/>
          <w14:textFill>
            <w14:solidFill>
              <w14:schemeClr w14:val="tx1"/>
            </w14:solidFill>
          </w14:textFill>
        </w:rPr>
        <w:t>8</w:t>
      </w:r>
      <w:r>
        <w:rPr>
          <w:rFonts w:ascii="Times New Roman"/>
          <w:color w:val="000000" w:themeColor="text1"/>
          <w14:textFill>
            <w14:solidFill>
              <w14:schemeClr w14:val="tx1"/>
            </w14:solidFill>
          </w14:textFill>
        </w:rPr>
        <w:t>个，每个装置所保护的蓄电池包总数不应超过</w:t>
      </w:r>
      <w:r>
        <w:rPr>
          <w:rFonts w:ascii="Times New Roman" w:hAnsi="Times New Roman"/>
          <w:color w:val="000000" w:themeColor="text1"/>
          <w14:textFill>
            <w14:solidFill>
              <w14:schemeClr w14:val="tx1"/>
            </w14:solidFill>
          </w14:textFill>
        </w:rPr>
        <w:t>40</w:t>
      </w:r>
      <w:r>
        <w:rPr>
          <w:rFonts w:ascii="Times New Roman"/>
          <w:color w:val="000000" w:themeColor="text1"/>
          <w14:textFill>
            <w14:solidFill>
              <w14:schemeClr w14:val="tx1"/>
            </w14:solidFill>
          </w14:textFill>
        </w:rPr>
        <w:t>个；</w:t>
      </w:r>
    </w:p>
    <w:p w14:paraId="12557726">
      <w:pPr>
        <w:pStyle w:val="58"/>
        <w:numPr>
          <w:ilvl w:val="0"/>
          <w:numId w:val="51"/>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采用手动释放时，应能在所保护的舱室外且人员便于达到的位置进行操作，并有防止误操作的措施。</w:t>
      </w:r>
    </w:p>
    <w:p w14:paraId="1D7C1619">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bookmarkStart w:id="120" w:name="_Toc128424128"/>
      <w:bookmarkStart w:id="121" w:name="_Toc20732626"/>
      <w:bookmarkStart w:id="122" w:name="_Toc87256668"/>
      <w:r>
        <w:rPr>
          <w:rFonts w:hint="eastAsia" w:ascii="黑体" w:hAnsi="黑体" w:eastAsia="黑体"/>
          <w:color w:val="000000" w:themeColor="text1"/>
          <w14:textFill>
            <w14:solidFill>
              <w14:schemeClr w14:val="tx1"/>
            </w14:solidFill>
          </w14:textFill>
        </w:rPr>
        <w:t>手提式灭火器</w:t>
      </w:r>
      <w:bookmarkEnd w:id="120"/>
      <w:bookmarkEnd w:id="121"/>
      <w:bookmarkEnd w:id="122"/>
    </w:p>
    <w:p w14:paraId="5D2E61F9">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对于</w:t>
      </w:r>
      <w:r>
        <w:rPr>
          <w:rFonts w:hint="eastAsia" w:ascii="宋体" w:hAnsi="宋体" w:cs="宋体"/>
          <w:color w:val="000000" w:themeColor="text1"/>
          <w:szCs w:val="21"/>
          <w14:textFill>
            <w14:solidFill>
              <w14:schemeClr w14:val="tx1"/>
            </w14:solidFill>
          </w14:textFill>
        </w:rPr>
        <w:t>甲板</w:t>
      </w:r>
      <w:r>
        <w:rPr>
          <w:rFonts w:hint="eastAsia"/>
          <w:color w:val="000000" w:themeColor="text1"/>
          <w14:textFill>
            <w14:solidFill>
              <w14:schemeClr w14:val="tx1"/>
            </w14:solidFill>
          </w14:textFill>
        </w:rPr>
        <w:t>面积大于等于</w:t>
      </w:r>
      <w:r>
        <w:rPr>
          <w:color w:val="000000" w:themeColor="text1"/>
          <w14:textFill>
            <w14:solidFill>
              <w14:schemeClr w14:val="tx1"/>
            </w14:solidFill>
          </w14:textFill>
        </w:rPr>
        <w:t>4m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的蓄电池舱，应至少配备</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具</w:t>
      </w:r>
      <w:r>
        <w:rPr>
          <w:color w:val="000000" w:themeColor="text1"/>
          <w14:textFill>
            <w14:solidFill>
              <w14:schemeClr w14:val="tx1"/>
            </w14:solidFill>
          </w14:textFill>
        </w:rPr>
        <w:t>容量至少5kg的</w:t>
      </w:r>
      <w:r>
        <w:rPr>
          <w:rFonts w:hint="eastAsia"/>
          <w:color w:val="000000" w:themeColor="text1"/>
          <w14:textFill>
            <w14:solidFill>
              <w14:schemeClr w14:val="tx1"/>
            </w14:solidFill>
          </w14:textFill>
        </w:rPr>
        <w:t>手提式气体灭火器（如七氟丙烷、二氧化碳），其中应有</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具设在该处所入口外附近处。甲板面积小于</w:t>
      </w:r>
      <w:r>
        <w:rPr>
          <w:color w:val="000000" w:themeColor="text1"/>
          <w14:textFill>
            <w14:solidFill>
              <w14:schemeClr w14:val="tx1"/>
            </w14:solidFill>
          </w14:textFill>
        </w:rPr>
        <w:t>4m2</w:t>
      </w:r>
      <w:r>
        <w:rPr>
          <w:rFonts w:hint="eastAsia"/>
          <w:color w:val="000000" w:themeColor="text1"/>
          <w14:textFill>
            <w14:solidFill>
              <w14:schemeClr w14:val="tx1"/>
            </w14:solidFill>
          </w14:textFill>
        </w:rPr>
        <w:t>的蓄电池舱外易于到达的位置，应至少设置2具</w:t>
      </w:r>
      <w:r>
        <w:rPr>
          <w:color w:val="000000" w:themeColor="text1"/>
          <w14:textFill>
            <w14:solidFill>
              <w14:schemeClr w14:val="tx1"/>
            </w14:solidFill>
          </w14:textFill>
        </w:rPr>
        <w:t>容量至少5kg的手提式气体灭火器</w:t>
      </w:r>
      <w:r>
        <w:rPr>
          <w:rFonts w:hint="eastAsia"/>
          <w:color w:val="000000" w:themeColor="text1"/>
          <w14:textFill>
            <w14:solidFill>
              <w14:schemeClr w14:val="tx1"/>
            </w14:solidFill>
          </w14:textFill>
        </w:rPr>
        <w:t>。</w:t>
      </w:r>
    </w:p>
    <w:p w14:paraId="0292407D">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布置</w:t>
      </w:r>
      <w:r>
        <w:rPr>
          <w:rFonts w:hint="eastAsia"/>
          <w:color w:val="000000" w:themeColor="text1"/>
          <w14:textFill>
            <w14:solidFill>
              <w14:schemeClr w14:val="tx1"/>
            </w14:solidFill>
          </w14:textFill>
        </w:rPr>
        <w:t>在开敞甲板上的蓄电池箱（柜），应在其附近至少设置2具</w:t>
      </w:r>
      <w:r>
        <w:rPr>
          <w:color w:val="000000" w:themeColor="text1"/>
          <w14:textFill>
            <w14:solidFill>
              <w14:schemeClr w14:val="tx1"/>
            </w14:solidFill>
          </w14:textFill>
        </w:rPr>
        <w:t>容量至少5kg的</w:t>
      </w:r>
      <w:r>
        <w:rPr>
          <w:rFonts w:hint="eastAsia"/>
          <w:color w:val="000000" w:themeColor="text1"/>
          <w14:textFill>
            <w14:solidFill>
              <w14:schemeClr w14:val="tx1"/>
            </w14:solidFill>
          </w14:textFill>
        </w:rPr>
        <w:t>手提式气体灭火器。</w:t>
      </w:r>
    </w:p>
    <w:p w14:paraId="3CDCD478">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123" w:name="_Toc167869233"/>
      <w:r>
        <w:rPr>
          <w:rFonts w:hint="eastAsia" w:ascii="Times New Roman" w:hAnsi="Times New Roman"/>
          <w:color w:val="000000" w:themeColor="text1"/>
          <w14:textFill>
            <w14:solidFill>
              <w14:schemeClr w14:val="tx1"/>
            </w14:solidFill>
          </w14:textFill>
        </w:rPr>
        <w:t>脱险</w:t>
      </w:r>
      <w:bookmarkEnd w:id="123"/>
    </w:p>
    <w:p w14:paraId="47330A92">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出入口和梯道</w:t>
      </w:r>
    </w:p>
    <w:p w14:paraId="56CE1F1F">
      <w:pPr>
        <w:pStyle w:val="53"/>
        <w:numPr>
          <w:ilvl w:val="3"/>
          <w:numId w:val="39"/>
        </w:numPr>
        <w:spacing w:line="240" w:lineRule="auto"/>
        <w:ind w:left="0" w:firstLine="420" w:firstLineChars="200"/>
        <w:rPr>
          <w:color w:val="000000" w:themeColor="text1"/>
          <w14:textFill>
            <w14:solidFill>
              <w14:schemeClr w14:val="tx1"/>
            </w14:solidFill>
          </w14:textFill>
        </w:rPr>
      </w:pPr>
      <w:r>
        <w:rPr>
          <w:rFonts w:ascii="宋体" w:hAnsi="宋体" w:cs="宋体"/>
          <w:color w:val="000000" w:themeColor="text1"/>
          <w:szCs w:val="21"/>
          <w14:textFill>
            <w14:solidFill>
              <w14:schemeClr w14:val="tx1"/>
            </w14:solidFill>
          </w14:textFill>
        </w:rPr>
        <w:t>蓄电池</w:t>
      </w:r>
      <w:r>
        <w:rPr>
          <w:color w:val="000000" w:themeColor="text1"/>
          <w14:textFill>
            <w14:solidFill>
              <w14:schemeClr w14:val="tx1"/>
            </w14:solidFill>
          </w14:textFill>
        </w:rPr>
        <w:t>舱的门或其他</w:t>
      </w:r>
      <w:r>
        <w:rPr>
          <w:rFonts w:hint="eastAsia"/>
          <w:color w:val="000000" w:themeColor="text1"/>
          <w14:textFill>
            <w14:solidFill>
              <w14:schemeClr w14:val="tx1"/>
            </w14:solidFill>
          </w14:textFill>
        </w:rPr>
        <w:t>出入口</w:t>
      </w:r>
      <w:r>
        <w:rPr>
          <w:color w:val="000000" w:themeColor="text1"/>
          <w14:textFill>
            <w14:solidFill>
              <w14:schemeClr w14:val="tx1"/>
            </w14:solidFill>
          </w14:textFill>
        </w:rPr>
        <w:t>应保持关闭，当开启时应在有人值班的处所发出报警，或采用自闭门，该门或出入口应为向外开启。</w:t>
      </w:r>
    </w:p>
    <w:p w14:paraId="7CA7C4A8">
      <w:pPr>
        <w:pStyle w:val="53"/>
        <w:numPr>
          <w:ilvl w:val="3"/>
          <w:numId w:val="39"/>
        </w:numPr>
        <w:spacing w:line="240" w:lineRule="auto"/>
        <w:ind w:left="0" w:firstLine="420" w:firstLineChars="200"/>
        <w:rPr>
          <w:color w:val="000000" w:themeColor="text1"/>
          <w14:textFill>
            <w14:solidFill>
              <w14:schemeClr w14:val="tx1"/>
            </w14:solidFill>
          </w14:textFill>
        </w:rPr>
      </w:pPr>
      <w:r>
        <w:rPr>
          <w:rFonts w:ascii="宋体" w:hAnsi="宋体" w:cs="宋体"/>
          <w:color w:val="000000" w:themeColor="text1"/>
          <w:szCs w:val="21"/>
          <w14:textFill>
            <w14:solidFill>
              <w14:schemeClr w14:val="tx1"/>
            </w14:solidFill>
          </w14:textFill>
        </w:rPr>
        <w:t>对于</w:t>
      </w:r>
      <w:r>
        <w:rPr>
          <w:color w:val="000000" w:themeColor="text1"/>
          <w14:textFill>
            <w14:solidFill>
              <w14:schemeClr w14:val="tx1"/>
            </w14:solidFill>
          </w14:textFill>
        </w:rPr>
        <w:t>人员可进入的蓄电池舱，其脱险通道的设置应符合</w:t>
      </w:r>
      <w:r>
        <w:rPr>
          <w:rFonts w:hint="eastAsia"/>
          <w:color w:val="000000" w:themeColor="text1"/>
          <w14:textFill>
            <w14:solidFill>
              <w14:schemeClr w14:val="tx1"/>
            </w14:solidFill>
          </w14:textFill>
        </w:rPr>
        <w:t>本局对船舶航行水域适用的</w:t>
      </w:r>
      <w:r>
        <w:rPr>
          <w:color w:val="000000" w:themeColor="text1"/>
          <w14:textFill>
            <w14:solidFill>
              <w14:schemeClr w14:val="tx1"/>
            </w14:solidFill>
          </w14:textFill>
        </w:rPr>
        <w:t>规则对非A类机器处所或其他机器处所脱险通道设置的相关规定。</w:t>
      </w:r>
    </w:p>
    <w:p w14:paraId="5EC3B604">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对于人员可进入的蓄电池舱，当采用梯道用作脱险通道时，应为钢质材料且倾斜角不应大于65°，出入口及梯道净宽度应至少为600mm。对于净空高2m以下的蓄电池舱可采用直梯。</w:t>
      </w:r>
    </w:p>
    <w:p w14:paraId="5FC091F2">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对于客船和载客12人及以下船舶</w:t>
      </w:r>
      <w:r>
        <w:rPr>
          <w:rFonts w:hint="eastAsia"/>
          <w:color w:val="000000" w:themeColor="text1"/>
          <w14:textFill>
            <w14:solidFill>
              <w14:schemeClr w14:val="tx1"/>
            </w14:solidFill>
          </w14:textFill>
        </w:rPr>
        <w:t>，载客围蔽处所应至少设置2个通向开敞甲板的出入口。当该处所内乘客人数大于30人时，每个出入口净宽度应至少为800mm，小于等于30人时可为700mm。相邻两层载客甲板之间的扶梯数应至少为2个。</w:t>
      </w:r>
    </w:p>
    <w:p w14:paraId="1BA40A04">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通道</w:t>
      </w:r>
    </w:p>
    <w:p w14:paraId="070CE1FC">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应设有供</w:t>
      </w:r>
      <w:r>
        <w:rPr>
          <w:rFonts w:ascii="宋体" w:hAnsi="宋体" w:cs="宋体"/>
          <w:color w:val="000000" w:themeColor="text1"/>
          <w:szCs w:val="21"/>
          <w14:textFill>
            <w14:solidFill>
              <w14:schemeClr w14:val="tx1"/>
            </w14:solidFill>
          </w14:textFill>
        </w:rPr>
        <w:t>船员</w:t>
      </w:r>
      <w:r>
        <w:rPr>
          <w:color w:val="000000" w:themeColor="text1"/>
          <w14:textFill>
            <w14:solidFill>
              <w14:schemeClr w14:val="tx1"/>
            </w14:solidFill>
          </w14:textFill>
        </w:rPr>
        <w:t>方便到达开敞甲板上蓄电池箱（柜）</w:t>
      </w:r>
      <w:r>
        <w:rPr>
          <w:rFonts w:hint="eastAsia"/>
          <w:color w:val="000000" w:themeColor="text1"/>
          <w14:textFill>
            <w14:solidFill>
              <w14:schemeClr w14:val="tx1"/>
            </w14:solidFill>
          </w14:textFill>
        </w:rPr>
        <w:t>/箱式电源</w:t>
      </w:r>
      <w:r>
        <w:rPr>
          <w:color w:val="000000" w:themeColor="text1"/>
          <w14:textFill>
            <w14:solidFill>
              <w14:schemeClr w14:val="tx1"/>
            </w14:solidFill>
          </w14:textFill>
        </w:rPr>
        <w:t>的通道</w:t>
      </w:r>
      <w:r>
        <w:rPr>
          <w:rFonts w:hint="eastAsia"/>
          <w:color w:val="000000" w:themeColor="text1"/>
          <w14:textFill>
            <w14:solidFill>
              <w14:schemeClr w14:val="tx1"/>
            </w14:solidFill>
          </w14:textFill>
        </w:rPr>
        <w:t>。对于客船，该通道应独立于人员脱险通道，</w:t>
      </w:r>
      <w:r>
        <w:rPr>
          <w:color w:val="000000" w:themeColor="text1"/>
          <w14:textFill>
            <w14:solidFill>
              <w14:schemeClr w14:val="tx1"/>
            </w14:solidFill>
          </w14:textFill>
        </w:rPr>
        <w:t>船员对该通道的使用应不妨碍紧急情况下乘客的撤离。</w:t>
      </w:r>
    </w:p>
    <w:p w14:paraId="40612C61">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124" w:name="_Toc139551010"/>
      <w:bookmarkStart w:id="125" w:name="_Toc167869234"/>
      <w:r>
        <w:rPr>
          <w:rFonts w:hint="eastAsia" w:ascii="Times New Roman" w:hAnsi="Times New Roman"/>
          <w:color w:val="000000" w:themeColor="text1"/>
          <w14:textFill>
            <w14:solidFill>
              <w14:schemeClr w14:val="tx1"/>
            </w14:solidFill>
          </w14:textFill>
        </w:rPr>
        <w:t>纤维增强塑料船的特殊要求</w:t>
      </w:r>
      <w:bookmarkEnd w:id="124"/>
      <w:bookmarkEnd w:id="125"/>
    </w:p>
    <w:p w14:paraId="623C420A">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一般</w:t>
      </w:r>
      <w:r>
        <w:rPr>
          <w:rFonts w:hint="eastAsia" w:ascii="黑体" w:hAnsi="黑体" w:eastAsia="黑体" w:cs="黑体"/>
          <w:color w:val="000000" w:themeColor="text1"/>
          <w14:textFill>
            <w14:solidFill>
              <w14:schemeClr w14:val="tx1"/>
            </w14:solidFill>
          </w14:textFill>
        </w:rPr>
        <w:t>要求</w:t>
      </w:r>
    </w:p>
    <w:p w14:paraId="11E69503">
      <w:pPr>
        <w:pStyle w:val="53"/>
        <w:numPr>
          <w:ilvl w:val="3"/>
          <w:numId w:val="39"/>
        </w:numPr>
        <w:spacing w:line="240" w:lineRule="auto"/>
        <w:ind w:left="0"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纤维增强</w:t>
      </w:r>
      <w:r>
        <w:rPr>
          <w:rFonts w:ascii="宋体" w:hAnsi="宋体" w:cs="宋体"/>
          <w:color w:val="000000" w:themeColor="text1"/>
          <w:szCs w:val="21"/>
          <w14:textFill>
            <w14:solidFill>
              <w14:schemeClr w14:val="tx1"/>
            </w14:solidFill>
          </w14:textFill>
        </w:rPr>
        <w:t>塑料</w:t>
      </w:r>
      <w:r>
        <w:rPr>
          <w:color w:val="000000" w:themeColor="text1"/>
          <w14:textFill>
            <w14:solidFill>
              <w14:schemeClr w14:val="tx1"/>
            </w14:solidFill>
          </w14:textFill>
        </w:rPr>
        <w:t>船的消防应满足本章</w:t>
      </w:r>
      <w:r>
        <w:rPr>
          <w:rFonts w:hint="eastAsia"/>
          <w:color w:val="000000" w:themeColor="text1"/>
          <w14:textFill>
            <w14:solidFill>
              <w14:schemeClr w14:val="tx1"/>
            </w14:solidFill>
          </w14:textFill>
        </w:rPr>
        <w:t>第1节至第4节（8.2.1、8</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2除外）以</w:t>
      </w:r>
      <w:r>
        <w:rPr>
          <w:color w:val="000000" w:themeColor="text1"/>
          <w14:textFill>
            <w14:solidFill>
              <w14:schemeClr w14:val="tx1"/>
            </w14:solidFill>
          </w14:textFill>
        </w:rPr>
        <w:t>及</w:t>
      </w:r>
      <w:r>
        <w:rPr>
          <w:rFonts w:hint="eastAsia"/>
          <w:color w:val="000000" w:themeColor="text1"/>
          <w14:textFill>
            <w14:solidFill>
              <w14:schemeClr w14:val="tx1"/>
            </w14:solidFill>
          </w14:textFill>
        </w:rPr>
        <w:t>本节的要求。</w:t>
      </w:r>
    </w:p>
    <w:p w14:paraId="332F3F36">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szCs w:val="2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结构</w:t>
      </w:r>
      <w:r>
        <w:rPr>
          <w:rFonts w:hint="eastAsia" w:ascii="黑体" w:hAnsi="黑体" w:eastAsia="黑体" w:cs="黑体"/>
          <w:color w:val="000000" w:themeColor="text1"/>
          <w:szCs w:val="21"/>
          <w14:textFill>
            <w14:solidFill>
              <w14:schemeClr w14:val="tx1"/>
            </w14:solidFill>
          </w14:textFill>
        </w:rPr>
        <w:t>材料</w:t>
      </w:r>
    </w:p>
    <w:p w14:paraId="67AA35B5">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船体、</w:t>
      </w:r>
      <w:r>
        <w:rPr>
          <w:rFonts w:ascii="宋体" w:hAnsi="宋体" w:cs="宋体"/>
          <w:color w:val="000000" w:themeColor="text1"/>
          <w:szCs w:val="21"/>
          <w14:textFill>
            <w14:solidFill>
              <w14:schemeClr w14:val="tx1"/>
            </w14:solidFill>
          </w14:textFill>
        </w:rPr>
        <w:t>上层建筑</w:t>
      </w:r>
      <w:r>
        <w:rPr>
          <w:color w:val="000000" w:themeColor="text1"/>
          <w14:textFill>
            <w14:solidFill>
              <w14:schemeClr w14:val="tx1"/>
            </w14:solidFill>
          </w14:textFill>
        </w:rPr>
        <w:t>、结构舱壁、甲板、甲板室和立柱应以具有足够结构性能的不燃材料或阻火材料建造。阻火材料应按照《国际耐火试验程序规则》附件1第10部分通过试验予以确定。</w:t>
      </w:r>
    </w:p>
    <w:p w14:paraId="637BF315">
      <w:pPr>
        <w:pStyle w:val="31"/>
        <w:numPr>
          <w:ilvl w:val="3"/>
          <w:numId w:val="0"/>
        </w:num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无失火危险处所内和开敞处所不适用本条。就本节而言，无失火危险处所指无着火源或含有少量可燃材料（可燃船体结构除外）的处所，如空舱、卫生间等；开敞处所不包括开敞货物处所和滚装货物甲板。</w:t>
      </w:r>
    </w:p>
    <w:p w14:paraId="1F627504">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防火</w:t>
      </w:r>
      <w:r>
        <w:rPr>
          <w:rFonts w:hint="eastAsia" w:ascii="黑体" w:hAnsi="黑体" w:eastAsia="黑体"/>
          <w:color w:val="000000" w:themeColor="text1"/>
          <w14:textFill>
            <w14:solidFill>
              <w14:schemeClr w14:val="tx1"/>
            </w14:solidFill>
          </w14:textFill>
        </w:rPr>
        <w:t>分隔</w:t>
      </w:r>
    </w:p>
    <w:p w14:paraId="3F12C10C">
      <w:pPr>
        <w:pStyle w:val="53"/>
        <w:numPr>
          <w:ilvl w:val="3"/>
          <w:numId w:val="39"/>
        </w:numPr>
        <w:spacing w:line="240" w:lineRule="auto"/>
        <w:ind w:left="0" w:firstLine="420" w:firstLineChars="200"/>
        <w:rPr>
          <w:color w:val="000000" w:themeColor="text1"/>
          <w:szCs w:val="20"/>
          <w14:textFill>
            <w14:solidFill>
              <w14:schemeClr w14:val="tx1"/>
            </w14:solidFill>
          </w14:textFill>
        </w:rPr>
      </w:pPr>
      <w:r>
        <w:rPr>
          <w:color w:val="000000" w:themeColor="text1"/>
          <w:szCs w:val="20"/>
          <w14:textFill>
            <w14:solidFill>
              <w14:schemeClr w14:val="tx1"/>
            </w14:solidFill>
          </w14:textFill>
        </w:rPr>
        <w:t>蓄电池舱应采用阻火分隔进行围闭，其</w:t>
      </w:r>
      <w:r>
        <w:rPr>
          <w:rFonts w:hint="eastAsia"/>
          <w:color w:val="000000" w:themeColor="text1"/>
          <w:szCs w:val="20"/>
          <w14:textFill>
            <w14:solidFill>
              <w14:schemeClr w14:val="tx1"/>
            </w14:solidFill>
          </w14:textFill>
        </w:rPr>
        <w:t>限界面</w:t>
      </w:r>
      <w:r>
        <w:rPr>
          <w:color w:val="000000" w:themeColor="text1"/>
          <w:szCs w:val="20"/>
          <w14:textFill>
            <w14:solidFill>
              <w14:schemeClr w14:val="tx1"/>
            </w14:solidFill>
          </w14:textFill>
        </w:rPr>
        <w:t>应按照《国际耐火试验程序规则》附件1第11部分的要求进行试验，并至少具有60min的结构防火时间，还应具有承载能力，经试验确认能在该时间内不致使船体和上层建筑发生坍塌。位于轻载水线以下与水接触的结构可不作要求，但应考虑从与水接触的无隔热结构向水面以上有隔热结构的热传递的影响</w:t>
      </w:r>
      <w:r>
        <w:rPr>
          <w:rFonts w:hint="eastAsia"/>
          <w:color w:val="000000" w:themeColor="text1"/>
          <w:szCs w:val="20"/>
          <w14:textFill>
            <w14:solidFill>
              <w14:schemeClr w14:val="tx1"/>
            </w14:solidFill>
          </w14:textFill>
        </w:rPr>
        <w:t>。</w:t>
      </w:r>
    </w:p>
    <w:p w14:paraId="7EFAA282">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szCs w:val="21"/>
          <w14:textFill>
            <w14:solidFill>
              <w14:schemeClr w14:val="tx1"/>
            </w14:solidFill>
          </w14:textFill>
        </w:rPr>
      </w:pPr>
      <w:r>
        <w:rPr>
          <w:rFonts w:hint="eastAsia" w:ascii="黑体" w:hAnsi="黑体" w:eastAsia="黑体"/>
          <w:color w:val="000000" w:themeColor="text1"/>
          <w14:textFill>
            <w14:solidFill>
              <w14:schemeClr w14:val="tx1"/>
            </w14:solidFill>
          </w14:textFill>
        </w:rPr>
        <w:t>其他</w:t>
      </w:r>
    </w:p>
    <w:p w14:paraId="3E49D3B3">
      <w:pPr>
        <w:pStyle w:val="53"/>
        <w:numPr>
          <w:ilvl w:val="3"/>
          <w:numId w:val="39"/>
        </w:numPr>
        <w:spacing w:line="240" w:lineRule="auto"/>
        <w:ind w:left="0" w:firstLine="420" w:firstLineChars="200"/>
        <w:rPr>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船上不应设置明火设施或单台功率超过</w:t>
      </w:r>
      <w:r>
        <w:rPr>
          <w:color w:val="000000" w:themeColor="text1"/>
          <w:szCs w:val="21"/>
          <w14:textFill>
            <w14:solidFill>
              <w14:schemeClr w14:val="tx1"/>
            </w14:solidFill>
          </w14:textFill>
        </w:rPr>
        <w:t>5kW</w:t>
      </w:r>
      <w:r>
        <w:rPr>
          <w:rFonts w:ascii="宋体" w:hAnsi="宋体" w:cs="宋体"/>
          <w:color w:val="000000" w:themeColor="text1"/>
          <w:szCs w:val="21"/>
          <w14:textFill>
            <w14:solidFill>
              <w14:schemeClr w14:val="tx1"/>
            </w14:solidFill>
          </w14:textFill>
        </w:rPr>
        <w:t>的烹饪或食品加热设备。</w:t>
      </w:r>
    </w:p>
    <w:p w14:paraId="3727A71B">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126" w:name="_Toc167869235"/>
      <w:r>
        <w:rPr>
          <w:rFonts w:hint="eastAsia" w:ascii="Times New Roman" w:hAnsi="Times New Roman"/>
          <w:color w:val="000000" w:themeColor="text1"/>
          <w14:textFill>
            <w14:solidFill>
              <w14:schemeClr w14:val="tx1"/>
            </w14:solidFill>
          </w14:textFill>
        </w:rPr>
        <w:t>箱式电源的特殊要求</w:t>
      </w:r>
      <w:bookmarkEnd w:id="126"/>
    </w:p>
    <w:p w14:paraId="37200ADC">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s="黑体"/>
          <w:color w:val="000000" w:themeColor="text1"/>
          <w:szCs w:val="21"/>
          <w14:textFill>
            <w14:solidFill>
              <w14:schemeClr w14:val="tx1"/>
            </w14:solidFill>
          </w14:textFill>
        </w:rPr>
      </w:pPr>
      <w:bookmarkStart w:id="127" w:name="_Toc128424182"/>
      <w:bookmarkStart w:id="128" w:name="_Toc96517813"/>
      <w:r>
        <w:rPr>
          <w:rFonts w:ascii="黑体" w:hAnsi="黑体" w:eastAsia="黑体" w:cs="黑体"/>
          <w:color w:val="000000" w:themeColor="text1"/>
          <w:szCs w:val="21"/>
          <w14:textFill>
            <w14:solidFill>
              <w14:schemeClr w14:val="tx1"/>
            </w14:solidFill>
          </w14:textFill>
        </w:rPr>
        <w:t>一般要求</w:t>
      </w:r>
      <w:bookmarkEnd w:id="127"/>
      <w:bookmarkEnd w:id="128"/>
    </w:p>
    <w:p w14:paraId="13F13523">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箱式电源内电池处所的消防应满足</w:t>
      </w:r>
      <w:r>
        <w:rPr>
          <w:rFonts w:hint="eastAsia"/>
          <w:color w:val="000000" w:themeColor="text1"/>
          <w14:textFill>
            <w14:solidFill>
              <w14:schemeClr w14:val="tx1"/>
            </w14:solidFill>
          </w14:textFill>
        </w:rPr>
        <w:t>本章第1节至第3节对蓄电池舱的要求（8</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、8.2.5.4除外）以及本节的</w:t>
      </w:r>
      <w:r>
        <w:rPr>
          <w:color w:val="000000" w:themeColor="text1"/>
          <w14:textFill>
            <w14:solidFill>
              <w14:schemeClr w14:val="tx1"/>
            </w14:solidFill>
          </w14:textFill>
        </w:rPr>
        <w:t>要求。</w:t>
      </w:r>
    </w:p>
    <w:p w14:paraId="6522C004">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s="黑体"/>
          <w:color w:val="000000" w:themeColor="text1"/>
          <w:szCs w:val="21"/>
          <w14:textFill>
            <w14:solidFill>
              <w14:schemeClr w14:val="tx1"/>
            </w14:solidFill>
          </w14:textFill>
        </w:rPr>
      </w:pPr>
      <w:bookmarkStart w:id="129" w:name="_Toc128424183"/>
      <w:bookmarkStart w:id="130" w:name="_Toc96517814"/>
      <w:r>
        <w:rPr>
          <w:rFonts w:ascii="黑体" w:hAnsi="黑体" w:eastAsia="黑体" w:cs="黑体"/>
          <w:color w:val="000000" w:themeColor="text1"/>
          <w:szCs w:val="21"/>
          <w14:textFill>
            <w14:solidFill>
              <w14:schemeClr w14:val="tx1"/>
            </w14:solidFill>
          </w14:textFill>
        </w:rPr>
        <w:t>结构</w:t>
      </w:r>
      <w:bookmarkEnd w:id="129"/>
      <w:bookmarkEnd w:id="130"/>
    </w:p>
    <w:p w14:paraId="76305C62">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箱体（包括门或其它开口）应采用钢质材料制造。</w:t>
      </w:r>
    </w:p>
    <w:p w14:paraId="37E85D36">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箱式电源内电池处所的限界面应为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A-60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级耐火结构。隔热材料应为不燃材料。</w:t>
      </w:r>
    </w:p>
    <w:p w14:paraId="5C56DFD3">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bookmarkStart w:id="131" w:name="_Toc96517815"/>
      <w:bookmarkStart w:id="132" w:name="_Toc128424185"/>
      <w:r>
        <w:rPr>
          <w:rFonts w:ascii="黑体" w:hAnsi="黑体" w:eastAsia="黑体"/>
          <w:color w:val="000000" w:themeColor="text1"/>
          <w14:textFill>
            <w14:solidFill>
              <w14:schemeClr w14:val="tx1"/>
            </w14:solidFill>
          </w14:textFill>
        </w:rPr>
        <w:t>固定式探火和失火报警系统</w:t>
      </w:r>
      <w:r>
        <w:rPr>
          <w:rFonts w:hint="eastAsia" w:ascii="黑体" w:hAnsi="黑体" w:eastAsia="黑体"/>
          <w:color w:val="000000" w:themeColor="text1"/>
          <w14:textFill>
            <w14:solidFill>
              <w14:schemeClr w14:val="tx1"/>
            </w14:solidFill>
          </w14:textFill>
        </w:rPr>
        <w:t>的供电</w:t>
      </w:r>
    </w:p>
    <w:p w14:paraId="7F83D9C3">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箱式电源内电池处所的固定式探火和失火报警系统应</w:t>
      </w:r>
      <w:r>
        <w:rPr>
          <w:rFonts w:hint="eastAsia"/>
          <w:color w:val="000000" w:themeColor="text1"/>
          <w14:textFill>
            <w14:solidFill>
              <w14:schemeClr w14:val="tx1"/>
            </w14:solidFill>
          </w14:textFill>
        </w:rPr>
        <w:t>至少</w:t>
      </w:r>
      <w:r>
        <w:rPr>
          <w:color w:val="000000" w:themeColor="text1"/>
          <w14:textFill>
            <w14:solidFill>
              <w14:schemeClr w14:val="tx1"/>
            </w14:solidFill>
          </w14:textFill>
        </w:rPr>
        <w:t>由两路独立电源供电，其中一路电源应由除本箱体主电源以外的其</w:t>
      </w:r>
      <w:r>
        <w:rPr>
          <w:rFonts w:hint="eastAsia"/>
          <w:color w:val="000000" w:themeColor="text1"/>
          <w14:textFill>
            <w14:solidFill>
              <w14:schemeClr w14:val="tx1"/>
            </w14:solidFill>
          </w14:textFill>
        </w:rPr>
        <w:t>他</w:t>
      </w:r>
      <w:r>
        <w:rPr>
          <w:color w:val="000000" w:themeColor="text1"/>
          <w14:textFill>
            <w14:solidFill>
              <w14:schemeClr w14:val="tx1"/>
            </w14:solidFill>
          </w14:textFill>
        </w:rPr>
        <w:t>电源系统供电，且供电时间满足</w:t>
      </w:r>
      <w:r>
        <w:rPr>
          <w:rFonts w:hint="eastAsia"/>
          <w:color w:val="000000" w:themeColor="text1"/>
          <w14:textFill>
            <w14:solidFill>
              <w14:schemeClr w14:val="tx1"/>
            </w14:solidFill>
          </w14:textFill>
        </w:rPr>
        <w:t>本局对船舶航行水域对应规则</w:t>
      </w:r>
      <w:r>
        <w:rPr>
          <w:color w:val="000000" w:themeColor="text1"/>
          <w14:textFill>
            <w14:solidFill>
              <w14:schemeClr w14:val="tx1"/>
            </w14:solidFill>
          </w14:textFill>
        </w:rPr>
        <w:t>对应急电源供电时间的要求。</w:t>
      </w:r>
      <w:r>
        <w:rPr>
          <w:rFonts w:hint="eastAsia"/>
          <w:color w:val="000000" w:themeColor="text1"/>
          <w14:textFill>
            <w14:solidFill>
              <w14:schemeClr w14:val="tx1"/>
            </w14:solidFill>
          </w14:textFill>
        </w:rPr>
        <w:t>当本箱体主电源失电时，应能自动从本箱体主电源以外的电源获得供电。</w:t>
      </w:r>
    </w:p>
    <w:p w14:paraId="14E302C7">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s="黑体"/>
          <w:color w:val="000000" w:themeColor="text1"/>
          <w:szCs w:val="21"/>
          <w14:textFill>
            <w14:solidFill>
              <w14:schemeClr w14:val="tx1"/>
            </w14:solidFill>
          </w14:textFill>
        </w:rPr>
      </w:pPr>
      <w:r>
        <w:rPr>
          <w:rFonts w:ascii="黑体" w:hAnsi="黑体" w:eastAsia="黑体"/>
          <w:color w:val="000000" w:themeColor="text1"/>
          <w14:textFill>
            <w14:solidFill>
              <w14:schemeClr w14:val="tx1"/>
            </w14:solidFill>
          </w14:textFill>
        </w:rPr>
        <w:t>灭火</w:t>
      </w:r>
      <w:bookmarkEnd w:id="131"/>
      <w:bookmarkEnd w:id="132"/>
    </w:p>
    <w:p w14:paraId="594ECCA7">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箱式电源内电池处所的固定式灭火系统，除预制式灭火系统</w:t>
      </w:r>
      <w:r>
        <w:rPr>
          <w:color w:val="000000" w:themeColor="text1"/>
          <w:vertAlign w:val="superscript"/>
          <w14:textFill>
            <w14:solidFill>
              <w14:schemeClr w14:val="tx1"/>
            </w14:solidFill>
          </w14:textFill>
        </w:rPr>
        <w:footnoteReference w:id="1"/>
      </w:r>
      <w:r>
        <w:rPr>
          <w:color w:val="000000" w:themeColor="text1"/>
          <w14:textFill>
            <w14:solidFill>
              <w14:schemeClr w14:val="tx1"/>
            </w14:solidFill>
          </w14:textFill>
        </w:rPr>
        <w:t>外，其灭火剂容器及灭火剂释放控制阀等部件应布置在电池处所外的专门处所内。</w:t>
      </w:r>
    </w:p>
    <w:p w14:paraId="5AB2BE44">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箱式电源内电池处所的固定式灭火系统除能就地控制外，还应具备在驾驶室或</w:t>
      </w:r>
      <w:r>
        <w:rPr>
          <w:rFonts w:hint="eastAsia"/>
          <w:color w:val="000000" w:themeColor="text1"/>
          <w14:textFill>
            <w14:solidFill>
              <w14:schemeClr w14:val="tx1"/>
            </w14:solidFill>
          </w14:textFill>
        </w:rPr>
        <w:t>有人值班处所</w:t>
      </w:r>
      <w:r>
        <w:rPr>
          <w:color w:val="000000" w:themeColor="text1"/>
          <w14:textFill>
            <w14:solidFill>
              <w14:schemeClr w14:val="tx1"/>
            </w14:solidFill>
          </w14:textFill>
        </w:rPr>
        <w:t>遥控操作的功能</w:t>
      </w:r>
      <w:r>
        <w:rPr>
          <w:rFonts w:hint="eastAsia"/>
          <w:color w:val="000000" w:themeColor="text1"/>
          <w14:textFill>
            <w14:solidFill>
              <w14:schemeClr w14:val="tx1"/>
            </w14:solidFill>
          </w14:textFill>
        </w:rPr>
        <w:t>，遥控装置应与固定式探火和失火报警系统的控制板或火警指示装置位于同一处所内</w:t>
      </w:r>
      <w:r>
        <w:rPr>
          <w:color w:val="000000" w:themeColor="text1"/>
          <w14:textFill>
            <w14:solidFill>
              <w14:schemeClr w14:val="tx1"/>
            </w14:solidFill>
          </w14:textFill>
        </w:rPr>
        <w:t>。</w:t>
      </w:r>
    </w:p>
    <w:p w14:paraId="0CB355C4">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船舶水灭火系统的布置应能为箱式电源提</w:t>
      </w:r>
      <w:r>
        <w:rPr>
          <w:color w:val="000000" w:themeColor="text1"/>
          <w14:textFill>
            <w14:solidFill>
              <w14:schemeClr w14:val="tx1"/>
            </w14:solidFill>
          </w14:textFill>
        </w:rPr>
        <w:t>供至少4股所规定压力和流量的水柱。消防泵的总排量应能向所规定尺寸的4</w:t>
      </w:r>
      <w:r>
        <w:rPr>
          <w:rFonts w:hint="eastAsia"/>
          <w:color w:val="000000" w:themeColor="text1"/>
          <w14:textFill>
            <w14:solidFill>
              <w14:schemeClr w14:val="tx1"/>
            </w14:solidFill>
          </w14:textFill>
        </w:rPr>
        <w:t>具水枪以规定的压力供水，并能射到箱式电源所在空间的任何</w:t>
      </w:r>
      <w:r>
        <w:rPr>
          <w:color w:val="000000" w:themeColor="text1"/>
          <w14:textFill>
            <w14:solidFill>
              <w14:schemeClr w14:val="tx1"/>
            </w14:solidFill>
          </w14:textFill>
        </w:rPr>
        <w:t>部分。应有措施保证当任一箱式电源失火时消防泵仍能正常工作。水枪应是水柱/水雾两用型。消火栓应设在船上适当位置，避免箱式电源的失火导致船员无法接近，其数量和布置还应额外考虑本节8.6.</w:t>
      </w:r>
      <w:r>
        <w:rPr>
          <w:rFonts w:hint="eastAsia"/>
          <w:color w:val="000000" w:themeColor="text1"/>
          <w14:textFill>
            <w14:solidFill>
              <w14:schemeClr w14:val="tx1"/>
            </w14:solidFill>
          </w14:textFill>
        </w:rPr>
        <w:t>4.5</w:t>
      </w:r>
      <w:r>
        <w:rPr>
          <w:color w:val="000000" w:themeColor="text1"/>
          <w14:textFill>
            <w14:solidFill>
              <w14:schemeClr w14:val="tx1"/>
            </w14:solidFill>
          </w14:textFill>
        </w:rPr>
        <w:t>所要求的移动式消防水炮的使用。</w:t>
      </w:r>
    </w:p>
    <w:p w14:paraId="03AA7B62">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箱式电源附近应至少配备4具容量至少5kg的手提式气体灭火器（如七氟丙烷、二氧化碳）。</w:t>
      </w:r>
    </w:p>
    <w:p w14:paraId="23AE2503">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箱式</w:t>
      </w:r>
      <w:r>
        <w:rPr>
          <w:rFonts w:ascii="宋体" w:hAnsi="宋体" w:cs="宋体"/>
          <w:color w:val="000000" w:themeColor="text1"/>
          <w:szCs w:val="21"/>
          <w14:textFill>
            <w14:solidFill>
              <w14:schemeClr w14:val="tx1"/>
            </w14:solidFill>
          </w14:textFill>
        </w:rPr>
        <w:t>电源</w:t>
      </w:r>
      <w:r>
        <w:rPr>
          <w:color w:val="000000" w:themeColor="text1"/>
          <w14:textFill>
            <w14:solidFill>
              <w14:schemeClr w14:val="tx1"/>
            </w14:solidFill>
          </w14:textFill>
        </w:rPr>
        <w:t>叠放超过</w:t>
      </w:r>
      <w:r>
        <w:rPr>
          <w:rFonts w:hint="eastAsia"/>
          <w:color w:val="000000" w:themeColor="text1"/>
          <w14:textFill>
            <w14:solidFill>
              <w14:schemeClr w14:val="tx1"/>
            </w14:solidFill>
          </w14:textFill>
        </w:rPr>
        <w:t>2层</w:t>
      </w:r>
      <w:r>
        <w:rPr>
          <w:color w:val="000000" w:themeColor="text1"/>
          <w14:textFill>
            <w14:solidFill>
              <w14:schemeClr w14:val="tx1"/>
            </w14:solidFill>
          </w14:textFill>
        </w:rPr>
        <w:t>时</w:t>
      </w:r>
      <w:r>
        <w:rPr>
          <w:rFonts w:hint="eastAsia"/>
          <w:color w:val="000000" w:themeColor="text1"/>
          <w14:textFill>
            <w14:solidFill>
              <w14:schemeClr w14:val="tx1"/>
            </w14:solidFill>
          </w14:textFill>
        </w:rPr>
        <w:t>，船舶</w:t>
      </w:r>
      <w:r>
        <w:rPr>
          <w:color w:val="000000" w:themeColor="text1"/>
          <w14:textFill>
            <w14:solidFill>
              <w14:schemeClr w14:val="tx1"/>
            </w14:solidFill>
          </w14:textFill>
        </w:rPr>
        <w:t>应</w:t>
      </w:r>
      <w:r>
        <w:rPr>
          <w:rFonts w:hint="eastAsia"/>
          <w:color w:val="000000" w:themeColor="text1"/>
          <w14:textFill>
            <w14:solidFill>
              <w14:schemeClr w14:val="tx1"/>
            </w14:solidFill>
          </w14:textFill>
        </w:rPr>
        <w:t>至少</w:t>
      </w:r>
      <w:r>
        <w:rPr>
          <w:color w:val="000000" w:themeColor="text1"/>
          <w14:textFill>
            <w14:solidFill>
              <w14:schemeClr w14:val="tx1"/>
            </w14:solidFill>
          </w14:textFill>
        </w:rPr>
        <w:t>设置</w:t>
      </w:r>
      <w:r>
        <w:rPr>
          <w:rFonts w:hint="eastAsia"/>
          <w:color w:val="000000" w:themeColor="text1"/>
          <w14:textFill>
            <w14:solidFill>
              <w14:schemeClr w14:val="tx1"/>
            </w14:solidFill>
          </w14:textFill>
        </w:rPr>
        <w:t>2具</w:t>
      </w:r>
      <w:r>
        <w:rPr>
          <w:color w:val="000000" w:themeColor="text1"/>
          <w14:textFill>
            <w14:solidFill>
              <w14:schemeClr w14:val="tx1"/>
            </w14:solidFill>
          </w14:textFill>
        </w:rPr>
        <w:t>移动</w:t>
      </w:r>
      <w:r>
        <w:rPr>
          <w:rFonts w:hint="eastAsia"/>
          <w:color w:val="000000" w:themeColor="text1"/>
          <w14:textFill>
            <w14:solidFill>
              <w14:schemeClr w14:val="tx1"/>
            </w14:solidFill>
          </w14:textFill>
        </w:rPr>
        <w:t>式</w:t>
      </w:r>
      <w:r>
        <w:rPr>
          <w:color w:val="000000" w:themeColor="text1"/>
          <w14:textFill>
            <w14:solidFill>
              <w14:schemeClr w14:val="tx1"/>
            </w14:solidFill>
          </w14:textFill>
        </w:rPr>
        <w:t>消防水炮</w:t>
      </w:r>
      <w:r>
        <w:rPr>
          <w:rFonts w:hint="eastAsia"/>
          <w:color w:val="000000" w:themeColor="text1"/>
          <w14:textFill>
            <w14:solidFill>
              <w14:schemeClr w14:val="tx1"/>
            </w14:solidFill>
          </w14:textFill>
        </w:rPr>
        <w:t>，并满足下列要求：</w:t>
      </w:r>
    </w:p>
    <w:p w14:paraId="3DBFF425">
      <w:pPr>
        <w:pStyle w:val="58"/>
        <w:numPr>
          <w:ilvl w:val="0"/>
          <w:numId w:val="52"/>
        </w:numPr>
        <w:spacing w:line="240" w:lineRule="auto"/>
        <w:rPr>
          <w:rFonts w:hint="eastAsia" w:ascii="䅂䍄䕅⯋컌" w:eastAsia="䅂䍄䕅⯋컌" w:cs="宋体"/>
          <w:bCs w:val="0"/>
          <w:color w:val="000000" w:themeColor="text1"/>
          <w:szCs w:val="21"/>
          <w14:textFill>
            <w14:solidFill>
              <w14:schemeClr w14:val="tx1"/>
            </w14:solidFill>
          </w14:textFill>
        </w:rPr>
      </w:pPr>
      <w:r>
        <w:rPr>
          <w:rFonts w:hint="eastAsia"/>
          <w:color w:val="000000" w:themeColor="text1"/>
          <w14:textFill>
            <w14:solidFill>
              <w14:schemeClr w14:val="tx1"/>
            </w14:solidFill>
          </w14:textFill>
        </w:rPr>
        <w:t>移动式</w:t>
      </w:r>
      <w:r>
        <w:rPr>
          <w:rFonts w:hint="eastAsia" w:ascii="䅂䍄䕅⯋컌" w:eastAsia="䅂䍄䕅⯋컌" w:cs="宋体"/>
          <w:color w:val="000000" w:themeColor="text1"/>
          <w:szCs w:val="21"/>
          <w14:textFill>
            <w14:solidFill>
              <w14:schemeClr w14:val="tx1"/>
            </w14:solidFill>
          </w14:textFill>
        </w:rPr>
        <w:t>消防水炮及其所需的水带、配件和固定装置，应存放在箱式电源发生火灾时不易</w:t>
      </w:r>
      <w:r>
        <w:rPr>
          <w:rFonts w:hint="eastAsia"/>
          <w:color w:val="000000" w:themeColor="text1"/>
          <w14:textFill>
            <w14:solidFill>
              <w14:schemeClr w14:val="tx1"/>
            </w14:solidFill>
          </w14:textFill>
        </w:rPr>
        <w:t>被切断的位置，</w:t>
      </w:r>
      <w:r>
        <w:rPr>
          <w:rFonts w:hint="eastAsia" w:ascii="䅂䍄䕅⯋컌" w:eastAsia="䅂䍄䕅⯋컌" w:cs="宋体"/>
          <w:bCs w:val="0"/>
          <w:color w:val="000000" w:themeColor="text1"/>
          <w:szCs w:val="21"/>
          <w14:textFill>
            <w14:solidFill>
              <w14:schemeClr w14:val="tx1"/>
            </w14:solidFill>
          </w14:textFill>
        </w:rPr>
        <w:t>便于及时使用；</w:t>
      </w:r>
    </w:p>
    <w:p w14:paraId="2FBDD87D">
      <w:pPr>
        <w:pStyle w:val="58"/>
        <w:numPr>
          <w:ilvl w:val="0"/>
          <w:numId w:val="52"/>
        </w:numPr>
        <w:spacing w:line="24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如</w:t>
      </w:r>
      <w:r>
        <w:rPr>
          <w:rFonts w:ascii="Times New Roman" w:hAnsi="Times New Roman"/>
          <w:color w:val="000000" w:themeColor="text1"/>
          <w14:textFill>
            <w14:solidFill>
              <w14:schemeClr w14:val="tx1"/>
            </w14:solidFill>
          </w14:textFill>
        </w:rPr>
        <w:t>消防泵</w:t>
      </w:r>
      <w:r>
        <w:rPr>
          <w:rFonts w:hint="eastAsia" w:ascii="Times New Roman" w:hAnsi="Times New Roman"/>
          <w:color w:val="000000" w:themeColor="text1"/>
          <w14:textFill>
            <w14:solidFill>
              <w14:schemeClr w14:val="tx1"/>
            </w14:solidFill>
          </w14:textFill>
        </w:rPr>
        <w:t>的排量和</w:t>
      </w:r>
      <w:r>
        <w:rPr>
          <w:rFonts w:ascii="Times New Roman" w:hAnsi="Times New Roman"/>
          <w:color w:val="000000" w:themeColor="text1"/>
          <w14:textFill>
            <w14:solidFill>
              <w14:schemeClr w14:val="tx1"/>
            </w14:solidFill>
          </w14:textFill>
        </w:rPr>
        <w:t>消防总管的</w:t>
      </w:r>
      <w:r>
        <w:rPr>
          <w:rFonts w:hint="eastAsia" w:ascii="Times New Roman" w:hAnsi="Times New Roman"/>
          <w:color w:val="000000" w:themeColor="text1"/>
          <w14:textFill>
            <w14:solidFill>
              <w14:schemeClr w14:val="tx1"/>
            </w14:solidFill>
          </w14:textFill>
        </w:rPr>
        <w:t>直径足以同时供应所有的移动式消防水</w:t>
      </w:r>
      <w:r>
        <w:rPr>
          <w:rFonts w:hint="eastAsia"/>
          <w:color w:val="000000" w:themeColor="text1"/>
          <w14:textFill>
            <w14:solidFill>
              <w14:schemeClr w14:val="tx1"/>
            </w14:solidFill>
          </w14:textFill>
        </w:rPr>
        <w:t>炮</w:t>
      </w:r>
      <w:r>
        <w:rPr>
          <w:rFonts w:hint="eastAsia" w:ascii="Times New Roman" w:hAnsi="Times New Roman"/>
          <w:color w:val="000000" w:themeColor="text1"/>
          <w14:textFill>
            <w14:solidFill>
              <w14:schemeClr w14:val="tx1"/>
            </w14:solidFill>
          </w14:textFill>
        </w:rPr>
        <w:t>并从消防水带产生4股达到所要求压力的水柱，则移动式消防水炮可由消防总管供水；</w:t>
      </w:r>
    </w:p>
    <w:p w14:paraId="00498BBA">
      <w:pPr>
        <w:pStyle w:val="58"/>
        <w:numPr>
          <w:ilvl w:val="0"/>
          <w:numId w:val="52"/>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每具移动式消防水炮可由不同的消火栓供水，其压力应足以达到最高一层箱式电源；</w:t>
      </w:r>
    </w:p>
    <w:p w14:paraId="37D548E9">
      <w:pPr>
        <w:pStyle w:val="58"/>
        <w:numPr>
          <w:ilvl w:val="0"/>
          <w:numId w:val="52"/>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所有的移动式消防水炮所产生的水柱应能在水平相邻的箱式电源之间形成有效的水屏障；</w:t>
      </w:r>
    </w:p>
    <w:p w14:paraId="5BE7C7E2">
      <w:pPr>
        <w:pStyle w:val="58"/>
        <w:numPr>
          <w:ilvl w:val="0"/>
          <w:numId w:val="52"/>
        </w:numPr>
        <w:spacing w:line="240" w:lineRule="auto"/>
        <w:rPr>
          <w:rFonts w:hint="eastAsia"/>
          <w:color w:val="000000" w:themeColor="text1"/>
          <w14:textFill>
            <w14:solidFill>
              <w14:schemeClr w14:val="tx1"/>
            </w14:solidFill>
          </w14:textFill>
        </w:rPr>
      </w:pPr>
      <w:r>
        <w:rPr>
          <w:rFonts w:hint="eastAsia" w:ascii="䅂䍄䕅⯋컌" w:eastAsia="䅂䍄䕅⯋컌" w:cs="宋体"/>
          <w:color w:val="000000" w:themeColor="text1"/>
          <w:szCs w:val="21"/>
          <w14:textFill>
            <w14:solidFill>
              <w14:schemeClr w14:val="tx1"/>
            </w14:solidFill>
          </w14:textFill>
        </w:rPr>
        <w:t>移动式消防水炮的性能应满足公认的标准</w:t>
      </w:r>
      <w:r>
        <w:rPr>
          <w:rStyle w:val="22"/>
          <w:color w:val="000000" w:themeColor="text1"/>
          <w14:textFill>
            <w14:solidFill>
              <w14:schemeClr w14:val="tx1"/>
            </w14:solidFill>
          </w14:textFill>
        </w:rPr>
        <w:footnoteReference w:id="2"/>
      </w:r>
      <w:r>
        <w:rPr>
          <w:rFonts w:hint="eastAsia" w:ascii="䅂䍄䕅⯋컌" w:eastAsia="䅂䍄䕅⯋컌" w:cs="宋体"/>
          <w:color w:val="000000" w:themeColor="text1"/>
          <w:szCs w:val="21"/>
          <w14:textFill>
            <w14:solidFill>
              <w14:schemeClr w14:val="tx1"/>
            </w14:solidFill>
          </w14:textFill>
        </w:rPr>
        <w:t>。</w:t>
      </w:r>
    </w:p>
    <w:p w14:paraId="54943605">
      <w:pPr>
        <w:pStyle w:val="39"/>
        <w:keepNext w:val="0"/>
        <w:keepLines w:val="0"/>
        <w:pageBreakBefore w:val="0"/>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31DD6EFD">
      <w:pPr>
        <w:pStyle w:val="39"/>
        <w:keepNext w:val="0"/>
        <w:keepLines w:val="0"/>
        <w:numPr>
          <w:ilvl w:val="0"/>
          <w:numId w:val="39"/>
        </w:numPr>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pPr>
      <w:bookmarkStart w:id="133" w:name="_Toc167869236"/>
      <w:r>
        <w:rPr>
          <w:rFonts w:hint="eastAsia" w:ascii="Times New Roman" w:hAnsi="Times New Roman" w:cs="Times New Roman"/>
          <w:color w:val="000000" w:themeColor="text1"/>
          <w14:textFill>
            <w14:solidFill>
              <w14:schemeClr w14:val="tx1"/>
            </w14:solidFill>
          </w14:textFill>
        </w:rPr>
        <w:t>风险评估</w:t>
      </w:r>
      <w:bookmarkEnd w:id="133"/>
    </w:p>
    <w:p w14:paraId="734BA154">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134" w:name="_Toc167869237"/>
      <w:r>
        <w:rPr>
          <w:rFonts w:hint="eastAsia" w:ascii="Times New Roman" w:hAnsi="Times New Roman"/>
          <w:color w:val="000000" w:themeColor="text1"/>
          <w14:textFill>
            <w14:solidFill>
              <w14:schemeClr w14:val="tx1"/>
            </w14:solidFill>
          </w14:textFill>
        </w:rPr>
        <w:t>一般规定</w:t>
      </w:r>
      <w:bookmarkEnd w:id="134"/>
    </w:p>
    <w:p w14:paraId="7A35A943">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一般要求</w:t>
      </w:r>
    </w:p>
    <w:p w14:paraId="4457B441">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为消除或降低使用磷酸铁锂电池时可能给人员、船舶和环境带来的风险，纯电池动力船舶应进行风险评估。风险评估应使用可接受的、公认的方法</w:t>
      </w:r>
      <w:r>
        <w:rPr>
          <w:rStyle w:val="22"/>
          <w:color w:val="000000" w:themeColor="text1"/>
          <w14:textFill>
            <w14:solidFill>
              <w14:schemeClr w14:val="tx1"/>
            </w14:solidFill>
          </w14:textFill>
        </w:rPr>
        <w:footnoteReference w:id="3"/>
      </w:r>
      <w:r>
        <w:rPr>
          <w:color w:val="000000" w:themeColor="text1"/>
          <w14:textFill>
            <w14:solidFill>
              <w14:schemeClr w14:val="tx1"/>
            </w14:solidFill>
          </w14:textFill>
        </w:rPr>
        <w:t>。</w:t>
      </w:r>
    </w:p>
    <w:p w14:paraId="02B15831">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风险评估报告应足够详细，能够支持结果、结论、建议和采取的任何措施。</w:t>
      </w:r>
    </w:p>
    <w:p w14:paraId="4172C61A">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风险评估报告应在船舶开工建造前提交审批。</w:t>
      </w:r>
    </w:p>
    <w:p w14:paraId="1AEDCE1F">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评估范围</w:t>
      </w:r>
    </w:p>
    <w:p w14:paraId="0E9D3C6E">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纯</w:t>
      </w:r>
      <w:r>
        <w:rPr>
          <w:rFonts w:ascii="宋体" w:hAnsi="宋体" w:cs="宋体"/>
          <w:color w:val="000000" w:themeColor="text1"/>
          <w:szCs w:val="21"/>
          <w14:textFill>
            <w14:solidFill>
              <w14:schemeClr w14:val="tx1"/>
            </w14:solidFill>
          </w14:textFill>
        </w:rPr>
        <w:t>电池</w:t>
      </w:r>
      <w:r>
        <w:rPr>
          <w:color w:val="000000" w:themeColor="text1"/>
          <w14:textFill>
            <w14:solidFill>
              <w14:schemeClr w14:val="tx1"/>
            </w14:solidFill>
          </w14:textFill>
        </w:rPr>
        <w:t>动力船舶的风险评估工作应</w:t>
      </w:r>
      <w:r>
        <w:rPr>
          <w:rFonts w:hint="eastAsia"/>
          <w:color w:val="000000" w:themeColor="text1"/>
          <w14:textFill>
            <w14:solidFill>
              <w14:schemeClr w14:val="tx1"/>
            </w14:solidFill>
          </w14:textFill>
        </w:rPr>
        <w:t>考虑识别船舶应用电池作为动力而带来的所有潜在风险，包括但不限于</w:t>
      </w:r>
      <w:r>
        <w:rPr>
          <w:color w:val="000000" w:themeColor="text1"/>
          <w14:textFill>
            <w14:solidFill>
              <w14:schemeClr w14:val="tx1"/>
            </w14:solidFill>
          </w14:textFill>
        </w:rPr>
        <w:t>船舶的电池系统、配电系统和推进系统。</w:t>
      </w:r>
    </w:p>
    <w:p w14:paraId="0F35D469">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对电池系统的评估应至少考虑以下因素：</w:t>
      </w:r>
    </w:p>
    <w:p w14:paraId="0CCE1F0A">
      <w:pPr>
        <w:pStyle w:val="58"/>
        <w:numPr>
          <w:ilvl w:val="0"/>
          <w:numId w:val="53"/>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单体电芯故障，包括但不限于过充电、过放电等</w:t>
      </w:r>
      <w:r>
        <w:rPr>
          <w:color w:val="000000" w:themeColor="text1"/>
          <w14:textFill>
            <w14:solidFill>
              <w14:schemeClr w14:val="tx1"/>
            </w14:solidFill>
          </w14:textFill>
        </w:rPr>
        <w:t>；</w:t>
      </w:r>
    </w:p>
    <w:p w14:paraId="33C89BD8">
      <w:pPr>
        <w:pStyle w:val="58"/>
        <w:numPr>
          <w:ilvl w:val="0"/>
          <w:numId w:val="53"/>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电池</w:t>
      </w:r>
      <w:r>
        <w:rPr>
          <w:rFonts w:hint="eastAsia"/>
          <w:color w:val="000000" w:themeColor="text1"/>
          <w14:textFill>
            <w14:solidFill>
              <w14:schemeClr w14:val="tx1"/>
            </w14:solidFill>
          </w14:textFill>
        </w:rPr>
        <w:t>包故障，包括但不限于应急排气故障、电芯一致性差等</w:t>
      </w:r>
      <w:r>
        <w:rPr>
          <w:color w:val="000000" w:themeColor="text1"/>
          <w14:textFill>
            <w14:solidFill>
              <w14:schemeClr w14:val="tx1"/>
            </w14:solidFill>
          </w14:textFill>
        </w:rPr>
        <w:t>；</w:t>
      </w:r>
    </w:p>
    <w:p w14:paraId="5110CB47">
      <w:pPr>
        <w:pStyle w:val="58"/>
        <w:numPr>
          <w:ilvl w:val="0"/>
          <w:numId w:val="53"/>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电池</w:t>
      </w:r>
      <w:r>
        <w:rPr>
          <w:rFonts w:hint="eastAsia"/>
          <w:color w:val="000000" w:themeColor="text1"/>
          <w14:textFill>
            <w14:solidFill>
              <w14:schemeClr w14:val="tx1"/>
            </w14:solidFill>
          </w14:textFill>
        </w:rPr>
        <w:t>系统故障，包括但不限于系统绝缘故障、高压箱故障等</w:t>
      </w:r>
      <w:r>
        <w:rPr>
          <w:color w:val="000000" w:themeColor="text1"/>
          <w14:textFill>
            <w14:solidFill>
              <w14:schemeClr w14:val="tx1"/>
            </w14:solidFill>
          </w14:textFill>
        </w:rPr>
        <w:t>；</w:t>
      </w:r>
    </w:p>
    <w:p w14:paraId="4A7A08E3">
      <w:pPr>
        <w:pStyle w:val="58"/>
        <w:numPr>
          <w:ilvl w:val="0"/>
          <w:numId w:val="53"/>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电池管理系</w:t>
      </w:r>
      <w:r>
        <w:rPr>
          <w:rFonts w:ascii="Times New Roman"/>
          <w:color w:val="000000" w:themeColor="text1"/>
          <w14:textFill>
            <w14:solidFill>
              <w14:schemeClr w14:val="tx1"/>
            </w14:solidFill>
          </w14:textFill>
        </w:rPr>
        <w:t>统（</w:t>
      </w:r>
      <w:r>
        <w:rPr>
          <w:rFonts w:ascii="Times New Roman" w:hAnsi="Times New Roman"/>
          <w:color w:val="000000" w:themeColor="text1"/>
          <w14:textFill>
            <w14:solidFill>
              <w14:schemeClr w14:val="tx1"/>
            </w14:solidFill>
          </w14:textFill>
        </w:rPr>
        <w:t>BMS</w:t>
      </w:r>
      <w:r>
        <w:rPr>
          <w:rFonts w:ascii="Times New Roman"/>
          <w:color w:val="000000" w:themeColor="text1"/>
          <w14:textFill>
            <w14:solidFill>
              <w14:schemeClr w14:val="tx1"/>
            </w14:solidFill>
          </w14:textFill>
        </w:rPr>
        <w:t>）故障</w:t>
      </w:r>
      <w:r>
        <w:rPr>
          <w:rFonts w:hint="eastAsia" w:ascii="Times New Roman"/>
          <w:color w:val="000000" w:themeColor="text1"/>
          <w14:textFill>
            <w14:solidFill>
              <w14:schemeClr w14:val="tx1"/>
            </w14:solidFill>
          </w14:textFill>
        </w:rPr>
        <w:t>，包括但不限于硬件故障、供电故障等</w:t>
      </w:r>
      <w:r>
        <w:rPr>
          <w:rFonts w:ascii="Times New Roman"/>
          <w:color w:val="000000" w:themeColor="text1"/>
          <w14:textFill>
            <w14:solidFill>
              <w14:schemeClr w14:val="tx1"/>
            </w14:solidFill>
          </w14:textFill>
        </w:rPr>
        <w:t>；</w:t>
      </w:r>
    </w:p>
    <w:p w14:paraId="1BF59C85">
      <w:pPr>
        <w:pStyle w:val="58"/>
        <w:numPr>
          <w:ilvl w:val="0"/>
          <w:numId w:val="53"/>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电池</w:t>
      </w:r>
      <w:r>
        <w:rPr>
          <w:rFonts w:hint="eastAsia"/>
          <w:color w:val="000000" w:themeColor="text1"/>
          <w14:textFill>
            <w14:solidFill>
              <w14:schemeClr w14:val="tx1"/>
            </w14:solidFill>
          </w14:textFill>
        </w:rPr>
        <w:t>热管理</w:t>
      </w:r>
      <w:r>
        <w:rPr>
          <w:color w:val="000000" w:themeColor="text1"/>
          <w14:textFill>
            <w14:solidFill>
              <w14:schemeClr w14:val="tx1"/>
            </w14:solidFill>
          </w14:textFill>
        </w:rPr>
        <w:t>系统故障</w:t>
      </w:r>
      <w:r>
        <w:rPr>
          <w:rFonts w:hint="eastAsia"/>
          <w:color w:val="000000" w:themeColor="text1"/>
          <w14:textFill>
            <w14:solidFill>
              <w14:schemeClr w14:val="tx1"/>
            </w14:solidFill>
          </w14:textFill>
        </w:rPr>
        <w:t>，包括但不限于冷却失效、加热失效等；</w:t>
      </w:r>
    </w:p>
    <w:p w14:paraId="20B0EBE4">
      <w:pPr>
        <w:pStyle w:val="58"/>
        <w:numPr>
          <w:ilvl w:val="0"/>
          <w:numId w:val="53"/>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电池系统外部影响，包括但不限于机械碰撞、相邻处所火灾、外部进水等。</w:t>
      </w:r>
    </w:p>
    <w:p w14:paraId="542EE2BB">
      <w:pPr>
        <w:pStyle w:val="53"/>
        <w:numPr>
          <w:ilvl w:val="255"/>
          <w:numId w:val="0"/>
        </w:numPr>
        <w:spacing w:line="240" w:lineRule="auto"/>
        <w:ind w:left="840" w:leftChars="200"/>
        <w:rPr>
          <w:color w:val="000000" w:themeColor="text1"/>
          <w14:textFill>
            <w14:solidFill>
              <w14:schemeClr w14:val="tx1"/>
            </w14:solidFill>
          </w14:textFill>
        </w:rPr>
      </w:pPr>
      <w:r>
        <w:rPr>
          <w:rFonts w:hint="eastAsia"/>
          <w:color w:val="000000" w:themeColor="text1"/>
          <w14:textFill>
            <w14:solidFill>
              <w14:schemeClr w14:val="tx1"/>
            </w14:solidFill>
          </w14:textFill>
        </w:rPr>
        <w:t>9.1.2.3</w:t>
      </w:r>
      <w:r>
        <w:rPr>
          <w:color w:val="000000" w:themeColor="text1"/>
          <w14:textFill>
            <w14:solidFill>
              <w14:schemeClr w14:val="tx1"/>
            </w14:solidFill>
          </w14:textFill>
        </w:rPr>
        <w:t>对配电系统的评估应至少考虑以下因素：</w:t>
      </w:r>
    </w:p>
    <w:p w14:paraId="17632318">
      <w:pPr>
        <w:pStyle w:val="58"/>
        <w:numPr>
          <w:ilvl w:val="0"/>
          <w:numId w:val="54"/>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直流配电系统故障</w:t>
      </w:r>
      <w:r>
        <w:rPr>
          <w:rFonts w:hint="eastAsia" w:ascii="Times New Roman" w:hAnsi="Times New Roman"/>
          <w:color w:val="000000" w:themeColor="text1"/>
          <w14:textFill>
            <w14:solidFill>
              <w14:schemeClr w14:val="tx1"/>
            </w14:solidFill>
          </w14:textFill>
        </w:rPr>
        <w:t>，包括但不限于DC/DC模块异常、保护器件异常等</w:t>
      </w:r>
      <w:r>
        <w:rPr>
          <w:color w:val="000000" w:themeColor="text1"/>
          <w14:textFill>
            <w14:solidFill>
              <w14:schemeClr w14:val="tx1"/>
            </w14:solidFill>
          </w14:textFill>
        </w:rPr>
        <w:t>；</w:t>
      </w:r>
    </w:p>
    <w:p w14:paraId="65F67137">
      <w:pPr>
        <w:pStyle w:val="58"/>
        <w:numPr>
          <w:ilvl w:val="0"/>
          <w:numId w:val="54"/>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交流配电系统故障</w:t>
      </w:r>
      <w:r>
        <w:rPr>
          <w:rFonts w:hint="eastAsia" w:ascii="Times New Roman" w:hAnsi="Times New Roman"/>
          <w:color w:val="000000" w:themeColor="text1"/>
          <w14:textFill>
            <w14:solidFill>
              <w14:schemeClr w14:val="tx1"/>
            </w14:solidFill>
          </w14:textFill>
        </w:rPr>
        <w:t>，包括但不限于日用逆变电源故障、隔离变压器故障等</w:t>
      </w:r>
      <w:r>
        <w:rPr>
          <w:color w:val="000000" w:themeColor="text1"/>
          <w14:textFill>
            <w14:solidFill>
              <w14:schemeClr w14:val="tx1"/>
            </w14:solidFill>
          </w14:textFill>
        </w:rPr>
        <w:t>；</w:t>
      </w:r>
    </w:p>
    <w:p w14:paraId="5EB3F1A2">
      <w:pPr>
        <w:pStyle w:val="58"/>
        <w:numPr>
          <w:ilvl w:val="0"/>
          <w:numId w:val="54"/>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控制系统故障</w:t>
      </w:r>
      <w:r>
        <w:rPr>
          <w:rFonts w:hint="eastAsia" w:ascii="Times New Roman" w:hAnsi="Times New Roman"/>
          <w:color w:val="000000" w:themeColor="text1"/>
          <w14:textFill>
            <w14:solidFill>
              <w14:schemeClr w14:val="tx1"/>
            </w14:solidFill>
          </w14:textFill>
        </w:rPr>
        <w:t>，包括但不限于PMS/EMS故障、控制系统电源故障等</w:t>
      </w:r>
      <w:r>
        <w:rPr>
          <w:rFonts w:hint="eastAsia"/>
          <w:color w:val="000000" w:themeColor="text1"/>
          <w14:textFill>
            <w14:solidFill>
              <w14:schemeClr w14:val="tx1"/>
            </w14:solidFill>
          </w14:textFill>
        </w:rPr>
        <w:t>；</w:t>
      </w:r>
    </w:p>
    <w:p w14:paraId="0F2A4BE4">
      <w:pPr>
        <w:pStyle w:val="58"/>
        <w:numPr>
          <w:ilvl w:val="0"/>
          <w:numId w:val="54"/>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冷却系统故障</w:t>
      </w:r>
      <w:r>
        <w:rPr>
          <w:rFonts w:hint="eastAsia" w:ascii="Times New Roman" w:hAnsi="Times New Roman"/>
          <w:color w:val="000000" w:themeColor="text1"/>
          <w14:textFill>
            <w14:solidFill>
              <w14:schemeClr w14:val="tx1"/>
            </w14:solidFill>
          </w14:textFill>
        </w:rPr>
        <w:t>，包括但不限于冷却设备、器件、管路故障等</w:t>
      </w:r>
      <w:r>
        <w:rPr>
          <w:color w:val="000000" w:themeColor="text1"/>
          <w14:textFill>
            <w14:solidFill>
              <w14:schemeClr w14:val="tx1"/>
            </w14:solidFill>
          </w14:textFill>
        </w:rPr>
        <w:t>。</w:t>
      </w:r>
    </w:p>
    <w:p w14:paraId="140F9AD4">
      <w:pPr>
        <w:pStyle w:val="53"/>
        <w:numPr>
          <w:ilvl w:val="255"/>
          <w:numId w:val="0"/>
        </w:numPr>
        <w:spacing w:line="240" w:lineRule="auto"/>
        <w:ind w:left="840" w:leftChars="200"/>
        <w:rPr>
          <w:color w:val="000000" w:themeColor="text1"/>
          <w14:textFill>
            <w14:solidFill>
              <w14:schemeClr w14:val="tx1"/>
            </w14:solidFill>
          </w14:textFill>
        </w:rPr>
      </w:pPr>
      <w:r>
        <w:rPr>
          <w:rFonts w:hint="eastAsia"/>
          <w:color w:val="000000" w:themeColor="text1"/>
          <w14:textFill>
            <w14:solidFill>
              <w14:schemeClr w14:val="tx1"/>
            </w14:solidFill>
          </w14:textFill>
        </w:rPr>
        <w:t>9.1.2.4</w:t>
      </w:r>
      <w:r>
        <w:rPr>
          <w:color w:val="000000" w:themeColor="text1"/>
          <w14:textFill>
            <w14:solidFill>
              <w14:schemeClr w14:val="tx1"/>
            </w14:solidFill>
          </w14:textFill>
        </w:rPr>
        <w:t>对推进系统的评估应至少考虑以下因素：</w:t>
      </w:r>
    </w:p>
    <w:p w14:paraId="3E2E69CE">
      <w:pPr>
        <w:pStyle w:val="58"/>
        <w:numPr>
          <w:ilvl w:val="0"/>
          <w:numId w:val="55"/>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w:t>
      </w:r>
      <w:r>
        <w:rPr>
          <w:color w:val="000000" w:themeColor="text1"/>
          <w14:textFill>
            <w14:solidFill>
              <w14:schemeClr w14:val="tx1"/>
            </w14:solidFill>
          </w14:textFill>
        </w:rPr>
        <w:t>推进系统故障</w:t>
      </w:r>
      <w:r>
        <w:rPr>
          <w:rFonts w:hint="eastAsia"/>
          <w:color w:val="000000" w:themeColor="text1"/>
          <w14:textFill>
            <w14:solidFill>
              <w14:schemeClr w14:val="tx1"/>
            </w14:solidFill>
          </w14:textFill>
        </w:rPr>
        <w:t>，包括但不限于主推进逆变器故障、线路故障等</w:t>
      </w:r>
      <w:r>
        <w:rPr>
          <w:color w:val="000000" w:themeColor="text1"/>
          <w14:textFill>
            <w14:solidFill>
              <w14:schemeClr w14:val="tx1"/>
            </w14:solidFill>
          </w14:textFill>
        </w:rPr>
        <w:t>；</w:t>
      </w:r>
    </w:p>
    <w:p w14:paraId="05836BB3">
      <w:pPr>
        <w:pStyle w:val="58"/>
        <w:numPr>
          <w:ilvl w:val="0"/>
          <w:numId w:val="55"/>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推进控制系统故障</w:t>
      </w:r>
      <w:r>
        <w:rPr>
          <w:rFonts w:hint="eastAsia"/>
          <w:color w:val="000000" w:themeColor="text1"/>
          <w14:textFill>
            <w14:solidFill>
              <w14:schemeClr w14:val="tx1"/>
            </w14:solidFill>
          </w14:textFill>
        </w:rPr>
        <w:t>，包括但不限于控制器故障、控制电源故障等</w:t>
      </w:r>
      <w:r>
        <w:rPr>
          <w:color w:val="000000" w:themeColor="text1"/>
          <w14:textFill>
            <w14:solidFill>
              <w14:schemeClr w14:val="tx1"/>
            </w14:solidFill>
          </w14:textFill>
        </w:rPr>
        <w:t>；</w:t>
      </w:r>
    </w:p>
    <w:p w14:paraId="45695832">
      <w:pPr>
        <w:pStyle w:val="58"/>
        <w:numPr>
          <w:ilvl w:val="0"/>
          <w:numId w:val="55"/>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冷却系统故障，包括但不限于冷却设备、器件、管路故障等</w:t>
      </w:r>
      <w:r>
        <w:rPr>
          <w:color w:val="000000" w:themeColor="text1"/>
          <w14:textFill>
            <w14:solidFill>
              <w14:schemeClr w14:val="tx1"/>
            </w14:solidFill>
          </w14:textFill>
        </w:rPr>
        <w:t>；</w:t>
      </w:r>
    </w:p>
    <w:p w14:paraId="70337A28">
      <w:pPr>
        <w:pStyle w:val="58"/>
        <w:numPr>
          <w:ilvl w:val="0"/>
          <w:numId w:val="55"/>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舵机/</w:t>
      </w:r>
      <w:r>
        <w:rPr>
          <w:color w:val="000000" w:themeColor="text1"/>
          <w14:textFill>
            <w14:solidFill>
              <w14:schemeClr w14:val="tx1"/>
            </w14:solidFill>
          </w14:textFill>
        </w:rPr>
        <w:t>方向控制系统故障</w:t>
      </w:r>
      <w:r>
        <w:rPr>
          <w:rFonts w:hint="eastAsia"/>
          <w:color w:val="000000" w:themeColor="text1"/>
          <w14:textFill>
            <w14:solidFill>
              <w14:schemeClr w14:val="tx1"/>
            </w14:solidFill>
          </w14:textFill>
        </w:rPr>
        <w:t>，包括但不限于操舵变频器故障、转向设备故障、控制器故障等</w:t>
      </w:r>
      <w:r>
        <w:rPr>
          <w:color w:val="000000" w:themeColor="text1"/>
          <w14:textFill>
            <w14:solidFill>
              <w14:schemeClr w14:val="tx1"/>
            </w14:solidFill>
          </w14:textFill>
        </w:rPr>
        <w:t>。</w:t>
      </w:r>
    </w:p>
    <w:p w14:paraId="66DF839D">
      <w:pPr>
        <w:pStyle w:val="53"/>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如船舶设计采用其它类型的推进系统，如直翼桨、轮缘推进器、全回转推进器等，应进一步分析推进系统本身存在的风险。</w:t>
      </w:r>
    </w:p>
    <w:p w14:paraId="28E6F052">
      <w:pPr>
        <w:pStyle w:val="53"/>
        <w:numPr>
          <w:ilvl w:val="255"/>
          <w:numId w:val="0"/>
        </w:numPr>
        <w:spacing w:line="240" w:lineRule="auto"/>
        <w:ind w:left="840" w:leftChars="200"/>
        <w:rPr>
          <w:color w:val="000000" w:themeColor="text1"/>
          <w14:textFill>
            <w14:solidFill>
              <w14:schemeClr w14:val="tx1"/>
            </w14:solidFill>
          </w14:textFill>
        </w:rPr>
      </w:pPr>
      <w:r>
        <w:rPr>
          <w:rFonts w:hint="eastAsia"/>
          <w:color w:val="000000" w:themeColor="text1"/>
          <w14:textFill>
            <w14:solidFill>
              <w14:schemeClr w14:val="tx1"/>
            </w14:solidFill>
          </w14:textFill>
        </w:rPr>
        <w:t>9.1.2.5还应考虑其它与船舶应用电池作为动力的相关方面，</w:t>
      </w:r>
      <w:r>
        <w:rPr>
          <w:color w:val="000000" w:themeColor="text1"/>
          <w14:textFill>
            <w14:solidFill>
              <w14:schemeClr w14:val="tx1"/>
            </w14:solidFill>
          </w14:textFill>
        </w:rPr>
        <w:t>如蓄电池舱布置</w:t>
      </w:r>
      <w:r>
        <w:rPr>
          <w:rFonts w:hint="eastAsia"/>
          <w:color w:val="000000" w:themeColor="text1"/>
          <w14:textFill>
            <w14:solidFill>
              <w14:schemeClr w14:val="tx1"/>
            </w14:solidFill>
          </w14:textFill>
        </w:rPr>
        <w:t>、消防及人</w:t>
      </w:r>
    </w:p>
    <w:p w14:paraId="03CDF57C">
      <w:pPr>
        <w:pStyle w:val="53"/>
        <w:numPr>
          <w:ilvl w:val="255"/>
          <w:numId w:val="0"/>
        </w:num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员逃生</w:t>
      </w:r>
      <w:r>
        <w:rPr>
          <w:color w:val="000000" w:themeColor="text1"/>
          <w14:textFill>
            <w14:solidFill>
              <w14:schemeClr w14:val="tx1"/>
            </w14:solidFill>
          </w14:textFill>
        </w:rPr>
        <w:t>等</w:t>
      </w:r>
      <w:r>
        <w:rPr>
          <w:rFonts w:hint="eastAsia"/>
          <w:color w:val="000000" w:themeColor="text1"/>
          <w14:textFill>
            <w14:solidFill>
              <w14:schemeClr w14:val="tx1"/>
            </w14:solidFill>
          </w14:textFill>
        </w:rPr>
        <w:t>存在的</w:t>
      </w:r>
      <w:r>
        <w:rPr>
          <w:color w:val="000000" w:themeColor="text1"/>
          <w14:textFill>
            <w14:solidFill>
              <w14:schemeClr w14:val="tx1"/>
            </w14:solidFill>
          </w14:textFill>
        </w:rPr>
        <w:t>风险</w:t>
      </w:r>
      <w:r>
        <w:rPr>
          <w:rFonts w:hint="eastAsia"/>
          <w:color w:val="000000" w:themeColor="text1"/>
          <w14:textFill>
            <w14:solidFill>
              <w14:schemeClr w14:val="tx1"/>
            </w14:solidFill>
          </w14:textFill>
        </w:rPr>
        <w:t>。</w:t>
      </w:r>
    </w:p>
    <w:p w14:paraId="13E98A84">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评估过程</w:t>
      </w:r>
    </w:p>
    <w:p w14:paraId="2671D809">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技</w:t>
      </w:r>
      <w:bookmarkStart w:id="150" w:name="_GoBack"/>
      <w:bookmarkEnd w:id="150"/>
      <w:r>
        <w:rPr>
          <w:rFonts w:hint="eastAsia"/>
          <w:color w:val="000000" w:themeColor="text1"/>
          <w14:textFill>
            <w14:solidFill>
              <w14:schemeClr w14:val="tx1"/>
            </w14:solidFill>
          </w14:textFill>
        </w:rPr>
        <w:t>术风险</w:t>
      </w:r>
      <w:r>
        <w:rPr>
          <w:rFonts w:hint="eastAsia" w:ascii="宋体" w:hAnsi="宋体" w:cs="宋体"/>
          <w:color w:val="000000" w:themeColor="text1"/>
          <w:szCs w:val="21"/>
          <w14:textFill>
            <w14:solidFill>
              <w14:schemeClr w14:val="tx1"/>
            </w14:solidFill>
          </w14:textFill>
        </w:rPr>
        <w:t>评估</w:t>
      </w:r>
      <w:r>
        <w:rPr>
          <w:rFonts w:hint="eastAsia"/>
          <w:color w:val="000000" w:themeColor="text1"/>
          <w14:textFill>
            <w14:solidFill>
              <w14:schemeClr w14:val="tx1"/>
            </w14:solidFill>
          </w14:textFill>
        </w:rPr>
        <w:t>应至少包括危险识别、危害性分析、可能性分析、风险评价和决策建议等评估过程</w:t>
      </w:r>
      <w:r>
        <w:rPr>
          <w:color w:val="000000" w:themeColor="text1"/>
          <w14:textFill>
            <w14:solidFill>
              <w14:schemeClr w14:val="tx1"/>
            </w14:solidFill>
          </w14:textFill>
        </w:rPr>
        <w:t>。</w:t>
      </w:r>
    </w:p>
    <w:p w14:paraId="16F0BDB4">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危险</w:t>
      </w:r>
      <w:r>
        <w:rPr>
          <w:rFonts w:hint="eastAsia" w:ascii="宋体" w:hAnsi="宋体" w:cs="宋体"/>
          <w:color w:val="000000" w:themeColor="text1"/>
          <w:szCs w:val="21"/>
          <w14:textFill>
            <w14:solidFill>
              <w14:schemeClr w14:val="tx1"/>
            </w14:solidFill>
          </w14:textFill>
        </w:rPr>
        <w:t>识别</w:t>
      </w:r>
      <w:r>
        <w:rPr>
          <w:rFonts w:hint="eastAsia"/>
          <w:color w:val="000000" w:themeColor="text1"/>
          <w14:textFill>
            <w14:solidFill>
              <w14:schemeClr w14:val="tx1"/>
            </w14:solidFill>
          </w14:textFill>
        </w:rPr>
        <w:t>的目的是发现、认可并记录风险，以确定可能对电池动力船舶产生重大影响的事件、产生的原因及产生的后果。危险识别所用的方法一般包括头脑风暴和标准分析相结合，以便尽可能识别所有相关危险。</w:t>
      </w:r>
    </w:p>
    <w:p w14:paraId="6334A355">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危害性分析是对于每个识别出的危险，根据其产生的后果（如人员伤亡、财产损失、环境破坏），评估其严重程度危害性。</w:t>
      </w:r>
    </w:p>
    <w:p w14:paraId="4D31A843">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可能性</w:t>
      </w:r>
      <w:r>
        <w:rPr>
          <w:rFonts w:hint="eastAsia" w:ascii="宋体" w:hAnsi="宋体" w:cs="宋体"/>
          <w:color w:val="000000" w:themeColor="text1"/>
          <w:szCs w:val="21"/>
          <w14:textFill>
            <w14:solidFill>
              <w14:schemeClr w14:val="tx1"/>
            </w14:solidFill>
          </w14:textFill>
        </w:rPr>
        <w:t>分析</w:t>
      </w:r>
      <w:r>
        <w:rPr>
          <w:rFonts w:hint="eastAsia"/>
          <w:color w:val="000000" w:themeColor="text1"/>
          <w14:textFill>
            <w14:solidFill>
              <w14:schemeClr w14:val="tx1"/>
            </w14:solidFill>
          </w14:textFill>
        </w:rPr>
        <w:t>是根据已识别出的危险及引发危险发生的原因，综合评估危险发生的可能性。</w:t>
      </w:r>
    </w:p>
    <w:p w14:paraId="32BA392A">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风险评价</w:t>
      </w:r>
      <w:r>
        <w:rPr>
          <w:rFonts w:hint="eastAsia"/>
          <w:color w:val="000000" w:themeColor="text1"/>
          <w14:textFill>
            <w14:solidFill>
              <w14:schemeClr w14:val="tx1"/>
            </w14:solidFill>
          </w14:textFill>
        </w:rPr>
        <w:t>可视为危害性分析与可能性分析的组合，用于判断风险是否已得到减轻并达到可接受的标准。</w:t>
      </w:r>
    </w:p>
    <w:p w14:paraId="108C1429">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决策建议是对识别出的风险的评价提出相应建议和在不同阶段风险防范措施，</w:t>
      </w:r>
      <w:r>
        <w:rPr>
          <w:rFonts w:hint="eastAsia"/>
          <w:bCs w:val="0"/>
          <w:color w:val="000000" w:themeColor="text1"/>
          <w14:textFill>
            <w14:solidFill>
              <w14:schemeClr w14:val="tx1"/>
            </w14:solidFill>
          </w14:textFill>
        </w:rPr>
        <w:t>至少</w:t>
      </w:r>
      <w:r>
        <w:rPr>
          <w:rFonts w:hint="eastAsia"/>
          <w:color w:val="000000" w:themeColor="text1"/>
          <w14:textFill>
            <w14:solidFill>
              <w14:schemeClr w14:val="tx1"/>
            </w14:solidFill>
          </w14:textFill>
        </w:rPr>
        <w:t>包括船舶设计、审图、建造及营运维护</w:t>
      </w:r>
      <w:r>
        <w:rPr>
          <w:rFonts w:hint="eastAsia"/>
          <w:bCs w:val="0"/>
          <w:color w:val="000000" w:themeColor="text1"/>
          <w14:textFill>
            <w14:solidFill>
              <w14:schemeClr w14:val="tx1"/>
            </w14:solidFill>
          </w14:textFill>
        </w:rPr>
        <w:t>等阶段</w:t>
      </w:r>
      <w:r>
        <w:rPr>
          <w:rFonts w:hint="eastAsia"/>
          <w:color w:val="000000" w:themeColor="text1"/>
          <w14:textFill>
            <w14:solidFill>
              <w14:schemeClr w14:val="tx1"/>
            </w14:solidFill>
          </w14:textFill>
        </w:rPr>
        <w:t>。</w:t>
      </w:r>
    </w:p>
    <w:p w14:paraId="131808C4">
      <w:pPr>
        <w:pStyle w:val="39"/>
        <w:keepNext w:val="0"/>
        <w:keepLines w:val="0"/>
        <w:pageBreakBefore w:val="0"/>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pPr>
    </w:p>
    <w:p w14:paraId="69B67CAF">
      <w:pPr>
        <w:pStyle w:val="39"/>
        <w:keepNext w:val="0"/>
        <w:keepLines w:val="0"/>
        <w:pageBreakBefore w:val="0"/>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4D201DF3">
      <w:pPr>
        <w:pStyle w:val="39"/>
        <w:keepNext w:val="0"/>
        <w:keepLines w:val="0"/>
        <w:numPr>
          <w:ilvl w:val="0"/>
          <w:numId w:val="39"/>
        </w:numPr>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pPr>
      <w:bookmarkStart w:id="135" w:name="_Toc155079676"/>
      <w:bookmarkStart w:id="136" w:name="_Toc167869238"/>
      <w:r>
        <w:rPr>
          <w:rFonts w:hint="eastAsia" w:ascii="Times New Roman" w:hAnsi="Times New Roman" w:cs="Times New Roman"/>
          <w:color w:val="000000" w:themeColor="text1"/>
          <w14:textFill>
            <w14:solidFill>
              <w14:schemeClr w14:val="tx1"/>
            </w14:solidFill>
          </w14:textFill>
        </w:rPr>
        <w:t>试验</w:t>
      </w:r>
      <w:bookmarkEnd w:id="135"/>
      <w:bookmarkEnd w:id="136"/>
    </w:p>
    <w:p w14:paraId="16CC68EA">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137" w:name="_Toc167869239"/>
      <w:bookmarkStart w:id="138" w:name="_Toc155079677"/>
      <w:r>
        <w:rPr>
          <w:rFonts w:hint="eastAsia" w:ascii="Times New Roman" w:hAnsi="Times New Roman"/>
          <w:color w:val="000000" w:themeColor="text1"/>
          <w14:textFill>
            <w14:solidFill>
              <w14:schemeClr w14:val="tx1"/>
            </w14:solidFill>
          </w14:textFill>
        </w:rPr>
        <w:t>一般规定</w:t>
      </w:r>
      <w:bookmarkEnd w:id="137"/>
      <w:bookmarkEnd w:id="138"/>
    </w:p>
    <w:p w14:paraId="50C8CA03">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bookmarkStart w:id="139" w:name="_Toc155079678"/>
      <w:r>
        <w:rPr>
          <w:rFonts w:hint="eastAsia" w:ascii="黑体" w:hAnsi="黑体" w:eastAsia="黑体"/>
          <w:color w:val="000000" w:themeColor="text1"/>
          <w14:textFill>
            <w14:solidFill>
              <w14:schemeClr w14:val="tx1"/>
            </w14:solidFill>
          </w14:textFill>
        </w:rPr>
        <w:t>一般要求</w:t>
      </w:r>
      <w:bookmarkEnd w:id="139"/>
    </w:p>
    <w:p w14:paraId="03B95687">
      <w:pPr>
        <w:pStyle w:val="53"/>
        <w:numPr>
          <w:ilvl w:val="3"/>
          <w:numId w:val="39"/>
        </w:numPr>
        <w:spacing w:line="240" w:lineRule="auto"/>
        <w:ind w:left="0" w:firstLine="420" w:firstLineChars="200"/>
      </w:pPr>
      <w:r>
        <w:rPr>
          <w:rFonts w:hint="eastAsia"/>
        </w:rPr>
        <w:t>本章适用于纯电池动力船舶的动力系统（包含电池系统、配电系统、推进系统）以及相关系统的试验。试验项目包括陆上联调试验、系泊试验和航行试验。本章未提及的适用的船舶常规项目的系泊和航行试验根据船舶航行水域，参照</w:t>
      </w:r>
      <w:r>
        <w:t>GB/T 3221</w:t>
      </w:r>
      <w:r>
        <w:rPr>
          <w:rFonts w:hint="eastAsia"/>
        </w:rPr>
        <w:t>《内燃机动力内河船舶系泊和航行试验大纲》或</w:t>
      </w:r>
      <w:r>
        <w:t>GB/T 3471</w:t>
      </w:r>
      <w:r>
        <w:rPr>
          <w:rFonts w:hint="eastAsia"/>
        </w:rPr>
        <w:t>《海船系泊及航行试验通则》要求进行。</w:t>
      </w:r>
    </w:p>
    <w:p w14:paraId="73D363CC">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140" w:name="_Toc155079679"/>
      <w:bookmarkStart w:id="141" w:name="_Toc167869240"/>
      <w:r>
        <w:rPr>
          <w:rFonts w:hint="eastAsia" w:ascii="Times New Roman" w:hAnsi="Times New Roman"/>
          <w:color w:val="000000" w:themeColor="text1"/>
          <w14:textFill>
            <w14:solidFill>
              <w14:schemeClr w14:val="tx1"/>
            </w14:solidFill>
          </w14:textFill>
        </w:rPr>
        <w:t>陆上联调</w:t>
      </w:r>
      <w:bookmarkEnd w:id="140"/>
      <w:bookmarkEnd w:id="141"/>
    </w:p>
    <w:p w14:paraId="3080A156">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bookmarkStart w:id="142" w:name="_Toc155079680"/>
      <w:r>
        <w:rPr>
          <w:rFonts w:hint="eastAsia" w:ascii="黑体" w:hAnsi="黑体" w:eastAsia="黑体"/>
          <w:color w:val="000000" w:themeColor="text1"/>
          <w14:textFill>
            <w14:solidFill>
              <w14:schemeClr w14:val="tx1"/>
            </w14:solidFill>
          </w14:textFill>
        </w:rPr>
        <w:t>一般要求</w:t>
      </w:r>
      <w:bookmarkEnd w:id="142"/>
    </w:p>
    <w:p w14:paraId="5C5DF882">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rPr>
        <w:t>陆上联调试验应满足</w:t>
      </w:r>
      <w:r>
        <w:rPr>
          <w:color w:val="000000" w:themeColor="text1"/>
          <w14:textFill>
            <w14:solidFill>
              <w14:schemeClr w14:val="tx1"/>
            </w14:solidFill>
          </w14:textFill>
        </w:rPr>
        <w:t>本局按规定程序认可</w:t>
      </w:r>
      <w:r>
        <w:rPr>
          <w:rFonts w:hint="eastAsia"/>
          <w:color w:val="000000" w:themeColor="text1"/>
          <w14:textFill>
            <w14:solidFill>
              <w14:schemeClr w14:val="tx1"/>
            </w14:solidFill>
          </w14:textFill>
        </w:rPr>
        <w:t>和公布的中国船级社《船舶应用电池动力规范（</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）》及其修改通报第10章第2节的相关要求。</w:t>
      </w:r>
    </w:p>
    <w:p w14:paraId="328B528B">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143" w:name="_Toc167869241"/>
      <w:bookmarkStart w:id="144" w:name="_Toc155079687"/>
      <w:r>
        <w:rPr>
          <w:rFonts w:hint="eastAsia" w:ascii="Times New Roman" w:hAnsi="Times New Roman"/>
          <w:color w:val="000000" w:themeColor="text1"/>
          <w14:textFill>
            <w14:solidFill>
              <w14:schemeClr w14:val="tx1"/>
            </w14:solidFill>
          </w14:textFill>
        </w:rPr>
        <w:t>系泊试验</w:t>
      </w:r>
      <w:bookmarkEnd w:id="143"/>
      <w:bookmarkEnd w:id="144"/>
    </w:p>
    <w:p w14:paraId="1ECAF7CC">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一般要求</w:t>
      </w:r>
    </w:p>
    <w:p w14:paraId="01A8B74B">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rPr>
        <w:t>系泊试验应满足</w:t>
      </w:r>
      <w:r>
        <w:rPr>
          <w:color w:val="000000" w:themeColor="text1"/>
          <w14:textFill>
            <w14:solidFill>
              <w14:schemeClr w14:val="tx1"/>
            </w14:solidFill>
          </w14:textFill>
        </w:rPr>
        <w:t>本局按规定程序认可</w:t>
      </w:r>
      <w:r>
        <w:rPr>
          <w:rFonts w:hint="eastAsia"/>
          <w:color w:val="000000" w:themeColor="text1"/>
          <w14:textFill>
            <w14:solidFill>
              <w14:schemeClr w14:val="tx1"/>
            </w14:solidFill>
          </w14:textFill>
        </w:rPr>
        <w:t>和公布的中国船级社《船舶应用电池动力规范（</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）》及其修改通报第10章第3节的相关要求。</w:t>
      </w:r>
    </w:p>
    <w:p w14:paraId="463157DE">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145" w:name="_Toc155079696"/>
      <w:bookmarkStart w:id="146" w:name="_Toc167869242"/>
      <w:r>
        <w:rPr>
          <w:rFonts w:hint="eastAsia" w:ascii="Times New Roman" w:hAnsi="Times New Roman"/>
          <w:color w:val="000000" w:themeColor="text1"/>
          <w14:textFill>
            <w14:solidFill>
              <w14:schemeClr w14:val="tx1"/>
            </w14:solidFill>
          </w14:textFill>
        </w:rPr>
        <w:t>航行试验</w:t>
      </w:r>
      <w:bookmarkEnd w:id="145"/>
      <w:bookmarkEnd w:id="146"/>
    </w:p>
    <w:p w14:paraId="3FA5C8C4">
      <w:pPr>
        <w:pStyle w:val="41"/>
        <w:keepNext w:val="0"/>
        <w:keepLines w:val="0"/>
        <w:numPr>
          <w:ilvl w:val="2"/>
          <w:numId w:val="39"/>
        </w:numPr>
        <w:adjustRightInd w:val="0"/>
        <w:snapToGrid w:val="0"/>
        <w:spacing w:before="312" w:line="360" w:lineRule="auto"/>
        <w:ind w:firstLine="420" w:firstLineChars="200"/>
        <w:jc w:val="left"/>
        <w:rPr>
          <w:rFonts w:hint="eastAsia" w:ascii="黑体" w:hAnsi="黑体" w:eastAsia="黑体"/>
          <w:color w:val="000000" w:themeColor="text1"/>
          <w14:textFill>
            <w14:solidFill>
              <w14:schemeClr w14:val="tx1"/>
            </w14:solidFill>
          </w14:textFill>
        </w:rPr>
      </w:pPr>
      <w:bookmarkStart w:id="147" w:name="_Toc155079697"/>
      <w:r>
        <w:rPr>
          <w:rFonts w:hint="eastAsia" w:ascii="黑体" w:hAnsi="黑体" w:eastAsia="黑体"/>
          <w:color w:val="000000" w:themeColor="text1"/>
          <w14:textFill>
            <w14:solidFill>
              <w14:schemeClr w14:val="tx1"/>
            </w14:solidFill>
          </w14:textFill>
        </w:rPr>
        <w:t>一般要求</w:t>
      </w:r>
      <w:bookmarkEnd w:id="147"/>
    </w:p>
    <w:p w14:paraId="7D571B5F">
      <w:pPr>
        <w:pStyle w:val="53"/>
        <w:numPr>
          <w:ilvl w:val="3"/>
          <w:numId w:val="39"/>
        </w:numPr>
        <w:spacing w:line="240" w:lineRule="auto"/>
        <w:ind w:left="0" w:firstLine="420" w:firstLineChars="200"/>
      </w:pPr>
      <w:r>
        <w:rPr>
          <w:rFonts w:hint="eastAsia"/>
        </w:rPr>
        <w:t>航行试验应满足</w:t>
      </w:r>
      <w:r>
        <w:rPr>
          <w:color w:val="000000" w:themeColor="text1"/>
          <w14:textFill>
            <w14:solidFill>
              <w14:schemeClr w14:val="tx1"/>
            </w14:solidFill>
          </w14:textFill>
        </w:rPr>
        <w:t>本局按规定程序认可</w:t>
      </w:r>
      <w:r>
        <w:rPr>
          <w:rFonts w:hint="eastAsia"/>
          <w:color w:val="000000" w:themeColor="text1"/>
          <w14:textFill>
            <w14:solidFill>
              <w14:schemeClr w14:val="tx1"/>
            </w14:solidFill>
          </w14:textFill>
        </w:rPr>
        <w:t>和公布的中国船级社《船舶应用电池动力规范（</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）》及其修改通报第10章第4节的相关要求。</w:t>
      </w:r>
    </w:p>
    <w:p w14:paraId="41F9BCEE">
      <w:pPr>
        <w:pStyle w:val="53"/>
        <w:spacing w:line="240" w:lineRule="auto"/>
        <w:ind w:left="420" w:firstLine="0"/>
      </w:pPr>
    </w:p>
    <w:p w14:paraId="573B7A2B">
      <w:pPr>
        <w:pStyle w:val="39"/>
        <w:keepNext w:val="0"/>
        <w:keepLines w:val="0"/>
        <w:numPr>
          <w:ilvl w:val="0"/>
          <w:numId w:val="39"/>
        </w:numPr>
        <w:tabs>
          <w:tab w:val="clear" w:pos="0"/>
        </w:tabs>
        <w:adjustRightInd w:val="0"/>
        <w:snapToGrid w:val="0"/>
        <w:spacing w:before="0" w:beforeAutospacing="0" w:afterLines="0" w:line="240" w:lineRule="auto"/>
        <w:rPr>
          <w:rFonts w:ascii="Times New Roman" w:hAnsi="Times New Roman" w:cs="Times New Roman"/>
          <w:color w:val="000000" w:themeColor="text1"/>
          <w14:textFill>
            <w14:solidFill>
              <w14:schemeClr w14:val="tx1"/>
            </w14:solidFill>
          </w14:textFill>
        </w:rPr>
      </w:pPr>
      <w:bookmarkStart w:id="148" w:name="_Toc167869243"/>
      <w:r>
        <w:rPr>
          <w:rFonts w:hint="eastAsia" w:ascii="Times New Roman" w:hAnsi="Times New Roman" w:cs="Times New Roman"/>
          <w:color w:val="000000" w:themeColor="text1"/>
          <w14:textFill>
            <w14:solidFill>
              <w14:schemeClr w14:val="tx1"/>
            </w14:solidFill>
          </w14:textFill>
        </w:rPr>
        <w:t>操作和维护要求</w:t>
      </w:r>
      <w:bookmarkEnd w:id="148"/>
    </w:p>
    <w:p w14:paraId="454B8F78">
      <w:pPr>
        <w:pStyle w:val="40"/>
        <w:numPr>
          <w:ilvl w:val="1"/>
          <w:numId w:val="39"/>
        </w:numPr>
        <w:spacing w:before="312" w:after="312"/>
        <w:rPr>
          <w:rFonts w:ascii="Times New Roman" w:hAnsi="Times New Roman"/>
          <w:color w:val="000000" w:themeColor="text1"/>
          <w14:textFill>
            <w14:solidFill>
              <w14:schemeClr w14:val="tx1"/>
            </w14:solidFill>
          </w14:textFill>
        </w:rPr>
      </w:pPr>
      <w:bookmarkStart w:id="149" w:name="_Toc167869244"/>
      <w:r>
        <w:rPr>
          <w:rFonts w:hint="eastAsia" w:ascii="Times New Roman" w:hAnsi="Times New Roman"/>
          <w:color w:val="000000" w:themeColor="text1"/>
          <w14:textFill>
            <w14:solidFill>
              <w14:schemeClr w14:val="tx1"/>
            </w14:solidFill>
          </w14:textFill>
        </w:rPr>
        <w:t>一般规定</w:t>
      </w:r>
      <w:bookmarkEnd w:id="149"/>
    </w:p>
    <w:p w14:paraId="318FA9AA">
      <w:pPr>
        <w:pStyle w:val="41"/>
        <w:keepNext w:val="0"/>
        <w:keepLines w:val="0"/>
        <w:numPr>
          <w:ilvl w:val="2"/>
          <w:numId w:val="39"/>
        </w:numPr>
        <w:adjustRightInd w:val="0"/>
        <w:snapToGrid w:val="0"/>
        <w:spacing w:before="312" w:line="360" w:lineRule="auto"/>
        <w:ind w:firstLine="420" w:firstLineChars="200"/>
        <w:jc w:val="left"/>
        <w:rPr>
          <w:rFonts w:ascii="Times New Roman" w:hAnsi="Times New Roman"/>
          <w:b/>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一般要求</w:t>
      </w:r>
    </w:p>
    <w:p w14:paraId="3D451895">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船上应备有与</w:t>
      </w:r>
      <w:r>
        <w:rPr>
          <w:color w:val="000000" w:themeColor="text1"/>
          <w14:textFill>
            <w14:solidFill>
              <w14:schemeClr w14:val="tx1"/>
            </w14:solidFill>
          </w14:textFill>
        </w:rPr>
        <w:t>船舶</w:t>
      </w:r>
      <w:r>
        <w:rPr>
          <w:rFonts w:hint="eastAsia"/>
          <w:color w:val="000000" w:themeColor="text1"/>
          <w14:textFill>
            <w14:solidFill>
              <w14:schemeClr w14:val="tx1"/>
            </w14:solidFill>
          </w14:textFill>
        </w:rPr>
        <w:t>推进系统、电池系统和配电系统相关的操作手册、维护保养计划和培训手册</w:t>
      </w:r>
      <w:r>
        <w:rPr>
          <w:color w:val="000000" w:themeColor="text1"/>
          <w14:textFill>
            <w14:solidFill>
              <w14:schemeClr w14:val="tx1"/>
            </w14:solidFill>
          </w14:textFill>
        </w:rPr>
        <w:t>。</w:t>
      </w:r>
    </w:p>
    <w:p w14:paraId="4D1C3FAA">
      <w:pPr>
        <w:pStyle w:val="53"/>
        <w:numPr>
          <w:ilvl w:val="2"/>
          <w:numId w:val="39"/>
        </w:numPr>
        <w:spacing w:before="312" w:beforeLines="100"/>
        <w:ind w:firstLine="420" w:firstLineChars="200"/>
        <w:rPr>
          <w:color w:val="000000" w:themeColor="text1"/>
          <w14:textFill>
            <w14:solidFill>
              <w14:schemeClr w14:val="tx1"/>
            </w14:solidFill>
          </w14:textFill>
        </w:rPr>
      </w:pPr>
      <w:r>
        <w:rPr>
          <w:rFonts w:hint="eastAsia" w:ascii="黑体" w:hAnsi="黑体" w:eastAsia="黑体"/>
          <w:color w:val="000000" w:themeColor="text1"/>
          <w:kern w:val="2"/>
          <w:szCs w:val="24"/>
          <w14:textFill>
            <w14:solidFill>
              <w14:schemeClr w14:val="tx1"/>
            </w14:solidFill>
          </w14:textFill>
        </w:rPr>
        <w:t>操作手册</w:t>
      </w:r>
    </w:p>
    <w:p w14:paraId="717E83A1">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bCs w:val="0"/>
          <w:color w:val="000000" w:themeColor="text1"/>
          <w14:textFill>
            <w14:solidFill>
              <w14:schemeClr w14:val="tx1"/>
            </w14:solidFill>
          </w14:textFill>
        </w:rPr>
        <w:t>船上配备的</w:t>
      </w:r>
      <w:r>
        <w:rPr>
          <w:color w:val="000000" w:themeColor="text1"/>
          <w14:textFill>
            <w14:solidFill>
              <w14:schemeClr w14:val="tx1"/>
            </w14:solidFill>
          </w14:textFill>
        </w:rPr>
        <w:t>操作手册应至少包括</w:t>
      </w:r>
      <w:r>
        <w:rPr>
          <w:rFonts w:hint="eastAsia"/>
          <w:color w:val="000000" w:themeColor="text1"/>
          <w14:textFill>
            <w14:solidFill>
              <w14:schemeClr w14:val="tx1"/>
            </w14:solidFill>
          </w14:textFill>
        </w:rPr>
        <w:t>下列</w:t>
      </w:r>
      <w:r>
        <w:rPr>
          <w:color w:val="000000" w:themeColor="text1"/>
          <w14:textFill>
            <w14:solidFill>
              <w14:schemeClr w14:val="tx1"/>
            </w14:solidFill>
          </w14:textFill>
        </w:rPr>
        <w:t>内容：</w:t>
      </w:r>
    </w:p>
    <w:p w14:paraId="431153A7">
      <w:pPr>
        <w:pStyle w:val="58"/>
        <w:numPr>
          <w:ilvl w:val="0"/>
          <w:numId w:val="56"/>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电池、电池系统和</w:t>
      </w:r>
      <w:r>
        <w:rPr>
          <w:rFonts w:ascii="Times New Roman" w:hAnsi="Times New Roman"/>
          <w:color w:val="000000" w:themeColor="text1"/>
          <w14:textFill>
            <w14:solidFill>
              <w14:schemeClr w14:val="tx1"/>
            </w14:solidFill>
          </w14:textFill>
        </w:rPr>
        <w:t>BMS</w:t>
      </w:r>
      <w:r>
        <w:rPr>
          <w:color w:val="000000" w:themeColor="text1"/>
          <w14:textFill>
            <w14:solidFill>
              <w14:schemeClr w14:val="tx1"/>
            </w14:solidFill>
          </w14:textFill>
        </w:rPr>
        <w:t>的类型、规格、参数等详细信息和说明；</w:t>
      </w:r>
    </w:p>
    <w:p w14:paraId="6E739F10">
      <w:pPr>
        <w:pStyle w:val="58"/>
        <w:numPr>
          <w:ilvl w:val="0"/>
          <w:numId w:val="56"/>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直流/交流配电系统及各电气设备的类型、规格、参数等详细信息和说明；</w:t>
      </w:r>
    </w:p>
    <w:p w14:paraId="507F15E4">
      <w:pPr>
        <w:pStyle w:val="58"/>
        <w:numPr>
          <w:ilvl w:val="0"/>
          <w:numId w:val="56"/>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船舶管理系统的</w:t>
      </w:r>
      <w:r>
        <w:rPr>
          <w:rFonts w:hint="eastAsia"/>
          <w:bCs w:val="0"/>
          <w:color w:val="000000" w:themeColor="text1"/>
          <w14:textFill>
            <w14:solidFill>
              <w14:schemeClr w14:val="tx1"/>
            </w14:solidFill>
          </w14:textFill>
        </w:rPr>
        <w:t>详细信息</w:t>
      </w:r>
      <w:r>
        <w:rPr>
          <w:color w:val="000000" w:themeColor="text1"/>
          <w14:textFill>
            <w14:solidFill>
              <w14:schemeClr w14:val="tx1"/>
            </w14:solidFill>
          </w14:textFill>
        </w:rPr>
        <w:t>和说明；</w:t>
      </w:r>
    </w:p>
    <w:p w14:paraId="0AE92F12">
      <w:pPr>
        <w:pStyle w:val="58"/>
        <w:numPr>
          <w:ilvl w:val="0"/>
          <w:numId w:val="56"/>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各系统中报警的含义及相应处理程序；</w:t>
      </w:r>
    </w:p>
    <w:p w14:paraId="7F7BF32D">
      <w:pPr>
        <w:pStyle w:val="58"/>
        <w:numPr>
          <w:ilvl w:val="0"/>
          <w:numId w:val="56"/>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船舶动力系统（包括操舵系统）的操作程序；</w:t>
      </w:r>
    </w:p>
    <w:p w14:paraId="3D853F27">
      <w:pPr>
        <w:pStyle w:val="58"/>
        <w:numPr>
          <w:ilvl w:val="0"/>
          <w:numId w:val="56"/>
        </w:numPr>
        <w:spacing w:line="240" w:lineRule="auto"/>
        <w:rPr>
          <w:rFonts w:hint="eastAsia"/>
          <w:color w:val="000000" w:themeColor="text1"/>
          <w14:textFill>
            <w14:solidFill>
              <w14:schemeClr w14:val="tx1"/>
            </w14:solidFill>
          </w14:textFill>
        </w:rPr>
      </w:pPr>
      <w:r>
        <w:rPr>
          <w:rFonts w:hint="eastAsia"/>
          <w:bCs w:val="0"/>
          <w:color w:val="000000" w:themeColor="text1"/>
          <w14:textFill>
            <w14:solidFill>
              <w14:schemeClr w14:val="tx1"/>
            </w14:solidFill>
          </w14:textFill>
        </w:rPr>
        <w:t>动力</w:t>
      </w:r>
      <w:r>
        <w:rPr>
          <w:color w:val="000000" w:themeColor="text1"/>
          <w14:textFill>
            <w14:solidFill>
              <w14:schemeClr w14:val="tx1"/>
            </w14:solidFill>
          </w14:textFill>
        </w:rPr>
        <w:t>系统温度调节装置的操作使用程序；</w:t>
      </w:r>
    </w:p>
    <w:p w14:paraId="555081EA">
      <w:pPr>
        <w:pStyle w:val="58"/>
        <w:numPr>
          <w:ilvl w:val="0"/>
          <w:numId w:val="56"/>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充电程序；</w:t>
      </w:r>
    </w:p>
    <w:p w14:paraId="399C565A">
      <w:pPr>
        <w:pStyle w:val="58"/>
        <w:numPr>
          <w:ilvl w:val="0"/>
          <w:numId w:val="56"/>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箱式电源的电气连接程序（如适用）。</w:t>
      </w:r>
    </w:p>
    <w:p w14:paraId="7723BFFE">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对于高速船，可将本节11.1.2.1所述内容纳入高速船舶操作手册中。</w:t>
      </w:r>
    </w:p>
    <w:p w14:paraId="0C5540DD">
      <w:pPr>
        <w:pStyle w:val="53"/>
        <w:numPr>
          <w:ilvl w:val="2"/>
          <w:numId w:val="39"/>
        </w:numPr>
        <w:spacing w:before="312" w:beforeLines="100"/>
        <w:ind w:firstLine="420" w:firstLineChars="200"/>
        <w:rPr>
          <w:color w:val="000000" w:themeColor="text1"/>
          <w14:textFill>
            <w14:solidFill>
              <w14:schemeClr w14:val="tx1"/>
            </w14:solidFill>
          </w14:textFill>
        </w:rPr>
      </w:pPr>
      <w:r>
        <w:rPr>
          <w:rFonts w:hint="eastAsia" w:ascii="黑体" w:hAnsi="黑体" w:eastAsia="黑体"/>
          <w:color w:val="000000" w:themeColor="text1"/>
          <w:kern w:val="2"/>
          <w:szCs w:val="24"/>
          <w14:textFill>
            <w14:solidFill>
              <w14:schemeClr w14:val="tx1"/>
            </w14:solidFill>
          </w14:textFill>
        </w:rPr>
        <w:t>维护保养计划</w:t>
      </w:r>
    </w:p>
    <w:p w14:paraId="3A2310D0">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船上应制定并保存对于电池系统和配电系统的维护保养计划，定期对这些系统设备进行检查和维护保养，以使其处于良好状态</w:t>
      </w:r>
      <w:r>
        <w:rPr>
          <w:rFonts w:hint="eastAsia"/>
          <w:color w:val="000000" w:themeColor="text1"/>
          <w14:textFill>
            <w14:solidFill>
              <w14:schemeClr w14:val="tx1"/>
            </w14:solidFill>
          </w14:textFill>
        </w:rPr>
        <w:t>。</w:t>
      </w:r>
    </w:p>
    <w:p w14:paraId="2B5FDD15">
      <w:pPr>
        <w:pStyle w:val="53"/>
        <w:numPr>
          <w:ilvl w:val="3"/>
          <w:numId w:val="39"/>
        </w:numPr>
        <w:spacing w:line="240" w:lineRule="auto"/>
        <w:ind w:left="0" w:firstLine="420" w:firstLineChars="20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除生产</w:t>
      </w:r>
      <w:r>
        <w:rPr>
          <w:color w:val="000000" w:themeColor="text1"/>
          <w14:textFill>
            <w14:solidFill>
              <w14:schemeClr w14:val="tx1"/>
            </w14:solidFill>
          </w14:textFill>
        </w:rPr>
        <w:t>厂商</w:t>
      </w:r>
      <w:r>
        <w:rPr>
          <w:snapToGrid w:val="0"/>
          <w:color w:val="000000" w:themeColor="text1"/>
          <w14:textFill>
            <w14:solidFill>
              <w14:schemeClr w14:val="tx1"/>
            </w14:solidFill>
          </w14:textFill>
        </w:rPr>
        <w:t>或集成商已有明确规定者外，维护保养计划应至少包括下列系统</w:t>
      </w:r>
      <w:r>
        <w:rPr>
          <w:rFonts w:hint="eastAsia"/>
          <w:snapToGrid w:val="0"/>
          <w:color w:val="000000" w:themeColor="text1"/>
          <w14:textFill>
            <w14:solidFill>
              <w14:schemeClr w14:val="tx1"/>
            </w14:solidFill>
          </w14:textFill>
        </w:rPr>
        <w:t>、</w:t>
      </w:r>
      <w:r>
        <w:rPr>
          <w:snapToGrid w:val="0"/>
          <w:color w:val="000000" w:themeColor="text1"/>
          <w14:textFill>
            <w14:solidFill>
              <w14:schemeClr w14:val="tx1"/>
            </w14:solidFill>
          </w14:textFill>
        </w:rPr>
        <w:t>设备</w:t>
      </w:r>
      <w:r>
        <w:rPr>
          <w:rFonts w:hint="eastAsia"/>
          <w:snapToGrid w:val="0"/>
          <w:color w:val="000000" w:themeColor="text1"/>
          <w14:textFill>
            <w14:solidFill>
              <w14:schemeClr w14:val="tx1"/>
            </w14:solidFill>
          </w14:textFill>
        </w:rPr>
        <w:t>和数据</w:t>
      </w:r>
      <w:r>
        <w:rPr>
          <w:snapToGrid w:val="0"/>
          <w:color w:val="000000" w:themeColor="text1"/>
          <w14:textFill>
            <w14:solidFill>
              <w14:schemeClr w14:val="tx1"/>
            </w14:solidFill>
          </w14:textFill>
        </w:rPr>
        <w:t>：</w:t>
      </w:r>
    </w:p>
    <w:p w14:paraId="7C4A8C22">
      <w:pPr>
        <w:pStyle w:val="58"/>
        <w:numPr>
          <w:ilvl w:val="0"/>
          <w:numId w:val="57"/>
        </w:num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各系统电子数据采集和管理；</w:t>
      </w:r>
    </w:p>
    <w:p w14:paraId="158775F7">
      <w:pPr>
        <w:pStyle w:val="58"/>
        <w:numPr>
          <w:ilvl w:val="0"/>
          <w:numId w:val="57"/>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电池系统；</w:t>
      </w:r>
    </w:p>
    <w:p w14:paraId="0F8353B8">
      <w:pPr>
        <w:pStyle w:val="58"/>
        <w:numPr>
          <w:ilvl w:val="0"/>
          <w:numId w:val="57"/>
        </w:numPr>
        <w:spacing w:line="240" w:lineRule="auto"/>
        <w:rPr>
          <w:rFonts w:hint="eastAsia"/>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BMS</w:t>
      </w:r>
      <w:r>
        <w:rPr>
          <w:color w:val="000000" w:themeColor="text1"/>
          <w14:textFill>
            <w14:solidFill>
              <w14:schemeClr w14:val="tx1"/>
            </w14:solidFill>
          </w14:textFill>
        </w:rPr>
        <w:t>；</w:t>
      </w:r>
    </w:p>
    <w:p w14:paraId="43C3BAF9">
      <w:pPr>
        <w:pStyle w:val="58"/>
        <w:numPr>
          <w:ilvl w:val="0"/>
          <w:numId w:val="57"/>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直流配电系统；</w:t>
      </w:r>
    </w:p>
    <w:p w14:paraId="13E01CA1">
      <w:pPr>
        <w:pStyle w:val="58"/>
        <w:numPr>
          <w:ilvl w:val="0"/>
          <w:numId w:val="57"/>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交流配电系统；</w:t>
      </w:r>
    </w:p>
    <w:p w14:paraId="144768CE">
      <w:pPr>
        <w:pStyle w:val="58"/>
        <w:numPr>
          <w:ilvl w:val="0"/>
          <w:numId w:val="57"/>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船舶管理系统；</w:t>
      </w:r>
    </w:p>
    <w:p w14:paraId="72485F6B">
      <w:pPr>
        <w:pStyle w:val="58"/>
        <w:numPr>
          <w:ilvl w:val="0"/>
          <w:numId w:val="57"/>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温度调节装置</w:t>
      </w:r>
      <w:r>
        <w:rPr>
          <w:rFonts w:hint="eastAsia"/>
          <w:color w:val="000000" w:themeColor="text1"/>
          <w14:textFill>
            <w14:solidFill>
              <w14:schemeClr w14:val="tx1"/>
            </w14:solidFill>
          </w14:textFill>
        </w:rPr>
        <w:t>和冷却系统</w:t>
      </w:r>
      <w:r>
        <w:rPr>
          <w:color w:val="000000" w:themeColor="text1"/>
          <w14:textFill>
            <w14:solidFill>
              <w14:schemeClr w14:val="tx1"/>
            </w14:solidFill>
          </w14:textFill>
        </w:rPr>
        <w:t>；</w:t>
      </w:r>
    </w:p>
    <w:p w14:paraId="225BCC27">
      <w:pPr>
        <w:pStyle w:val="58"/>
        <w:numPr>
          <w:ilvl w:val="0"/>
          <w:numId w:val="57"/>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蓄电池箱</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及蓄电池托架；</w:t>
      </w:r>
    </w:p>
    <w:p w14:paraId="25B78DD8">
      <w:pPr>
        <w:pStyle w:val="58"/>
        <w:numPr>
          <w:ilvl w:val="0"/>
          <w:numId w:val="57"/>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与箱式电源连接的各类接插件（如适用）</w:t>
      </w:r>
      <w:r>
        <w:rPr>
          <w:rFonts w:hint="eastAsia"/>
          <w:color w:val="000000" w:themeColor="text1"/>
          <w14:textFill>
            <w14:solidFill>
              <w14:schemeClr w14:val="tx1"/>
            </w14:solidFill>
          </w14:textFill>
        </w:rPr>
        <w:t>；</w:t>
      </w:r>
    </w:p>
    <w:p w14:paraId="1D147785">
      <w:pPr>
        <w:pStyle w:val="58"/>
        <w:numPr>
          <w:ilvl w:val="0"/>
          <w:numId w:val="57"/>
        </w:numPr>
        <w:spacing w:line="240" w:lineRule="auto"/>
        <w:rPr>
          <w:rFonts w:hint="eastAsia"/>
          <w:color w:val="000000" w:themeColor="text1"/>
          <w14:textFill>
            <w14:solidFill>
              <w14:schemeClr w14:val="tx1"/>
            </w14:solidFill>
          </w14:textFill>
        </w:rPr>
      </w:pPr>
      <w:r>
        <w:rPr>
          <w:rFonts w:hint="eastAsia"/>
          <w:bCs w:val="0"/>
          <w:color w:val="000000" w:themeColor="text1"/>
          <w14:textFill>
            <w14:solidFill>
              <w14:schemeClr w14:val="tx1"/>
            </w14:solidFill>
          </w14:textFill>
        </w:rPr>
        <w:t>易损零部件清单</w:t>
      </w:r>
      <w:r>
        <w:rPr>
          <w:color w:val="000000" w:themeColor="text1"/>
          <w14:textFill>
            <w14:solidFill>
              <w14:schemeClr w14:val="tx1"/>
            </w14:solidFill>
          </w14:textFill>
        </w:rPr>
        <w:t>。</w:t>
      </w:r>
    </w:p>
    <w:p w14:paraId="4B6F0043">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电池</w:t>
      </w:r>
      <w:r>
        <w:rPr>
          <w:rFonts w:hint="eastAsia" w:ascii="宋体" w:hAnsi="宋体" w:cs="宋体"/>
          <w:color w:val="000000" w:themeColor="text1"/>
          <w:szCs w:val="21"/>
          <w14:textFill>
            <w14:solidFill>
              <w14:schemeClr w14:val="tx1"/>
            </w14:solidFill>
          </w14:textFill>
        </w:rPr>
        <w:t>系统</w:t>
      </w:r>
      <w:r>
        <w:rPr>
          <w:rFonts w:hint="eastAsia"/>
          <w:color w:val="000000" w:themeColor="text1"/>
          <w:szCs w:val="21"/>
          <w14:textFill>
            <w14:solidFill>
              <w14:schemeClr w14:val="tx1"/>
            </w14:solidFill>
          </w14:textFill>
        </w:rPr>
        <w:t>和配电系统维护保养的检查记录（可以是电子文档）应保存在船上，供验船师年度检验查阅确认记录中的内容。对电池系统，需要对保存</w:t>
      </w:r>
      <w:r>
        <w:rPr>
          <w:rFonts w:hint="eastAsia"/>
          <w:color w:val="000000" w:themeColor="text1"/>
          <w14:textFill>
            <w14:solidFill>
              <w14:schemeClr w14:val="tx1"/>
            </w14:solidFill>
          </w14:textFill>
        </w:rPr>
        <w:t>的</w:t>
      </w:r>
      <w:r>
        <w:rPr>
          <w:rFonts w:hint="eastAsia"/>
        </w:rPr>
        <w:t>电池</w:t>
      </w:r>
      <w:r>
        <w:rPr>
          <w:rFonts w:hint="eastAsia" w:ascii="宋体" w:hAnsi="宋体"/>
        </w:rPr>
        <w:t>系统</w:t>
      </w:r>
      <w:r>
        <w:rPr>
          <w:rFonts w:hint="eastAsia"/>
        </w:rPr>
        <w:t>运行</w:t>
      </w:r>
      <w:r>
        <w:rPr>
          <w:rFonts w:hint="eastAsia" w:ascii="宋体" w:hAnsi="宋体"/>
        </w:rPr>
        <w:t>参数、监测参数是否在</w:t>
      </w:r>
      <w:r>
        <w:rPr>
          <w:rFonts w:hint="eastAsia"/>
        </w:rPr>
        <w:t>产品允许的</w:t>
      </w:r>
      <w:r>
        <w:rPr>
          <w:rFonts w:hint="eastAsia" w:ascii="宋体" w:hAnsi="宋体"/>
        </w:rPr>
        <w:t>正常范围内进行确认和记录</w:t>
      </w:r>
      <w:r>
        <w:rPr>
          <w:rFonts w:hint="eastAsia"/>
          <w:color w:val="000000" w:themeColor="text1"/>
          <w:szCs w:val="21"/>
          <w14:textFill>
            <w14:solidFill>
              <w14:schemeClr w14:val="tx1"/>
            </w14:solidFill>
          </w14:textFill>
        </w:rPr>
        <w:t>。如果检查是由船员以外的技术服务人员进行，则其应在测试完成后提供检测报告。</w:t>
      </w:r>
    </w:p>
    <w:p w14:paraId="3083EF82">
      <w:pPr>
        <w:pStyle w:val="53"/>
        <w:numPr>
          <w:ilvl w:val="3"/>
          <w:numId w:val="39"/>
        </w:numPr>
        <w:spacing w:line="240" w:lineRule="auto"/>
        <w:ind w:left="0" w:firstLine="420" w:firstLineChars="200"/>
        <w:rPr>
          <w:color w:val="000000" w:themeColor="text1"/>
          <w14:textFill>
            <w14:solidFill>
              <w14:schemeClr w14:val="tx1"/>
            </w14:solidFill>
          </w14:textFill>
        </w:rPr>
      </w:pPr>
      <w:r>
        <w:rPr>
          <w:snapToGrid w:val="0"/>
          <w:color w:val="000000" w:themeColor="text1"/>
          <w14:textFill>
            <w14:solidFill>
              <w14:schemeClr w14:val="tx1"/>
            </w14:solidFill>
          </w14:textFill>
        </w:rPr>
        <w:t>维护</w:t>
      </w:r>
      <w:r>
        <w:rPr>
          <w:rFonts w:ascii="宋体" w:hAnsi="宋体" w:cs="宋体"/>
          <w:color w:val="000000" w:themeColor="text1"/>
          <w:szCs w:val="21"/>
          <w14:textFill>
            <w14:solidFill>
              <w14:schemeClr w14:val="tx1"/>
            </w14:solidFill>
          </w14:textFill>
        </w:rPr>
        <w:t>保养</w:t>
      </w:r>
      <w:r>
        <w:rPr>
          <w:snapToGrid w:val="0"/>
          <w:color w:val="000000" w:themeColor="text1"/>
          <w14:textFill>
            <w14:solidFill>
              <w14:schemeClr w14:val="tx1"/>
            </w14:solidFill>
          </w14:textFill>
        </w:rPr>
        <w:t>计划可为电子文件。</w:t>
      </w:r>
    </w:p>
    <w:p w14:paraId="629A8719">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对于高速船，可将</w:t>
      </w:r>
      <w:r>
        <w:rPr>
          <w:color w:val="000000" w:themeColor="text1"/>
          <w14:textFill>
            <w14:solidFill>
              <w14:schemeClr w14:val="tx1"/>
            </w14:solidFill>
          </w14:textFill>
        </w:rPr>
        <w:t>电池系统和配电系统</w:t>
      </w:r>
      <w:r>
        <w:rPr>
          <w:rFonts w:hint="eastAsia"/>
          <w:color w:val="000000" w:themeColor="text1"/>
          <w14:textFill>
            <w14:solidFill>
              <w14:schemeClr w14:val="tx1"/>
            </w14:solidFill>
          </w14:textFill>
        </w:rPr>
        <w:t>的维护保养计划纳入高速船舶维修及保养手册中。</w:t>
      </w:r>
    </w:p>
    <w:p w14:paraId="04AF2C63">
      <w:pPr>
        <w:pStyle w:val="53"/>
        <w:numPr>
          <w:ilvl w:val="2"/>
          <w:numId w:val="39"/>
        </w:numPr>
        <w:spacing w:before="312" w:beforeLines="100"/>
        <w:ind w:firstLine="420" w:firstLineChars="200"/>
        <w:rPr>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培训手册</w:t>
      </w:r>
    </w:p>
    <w:p w14:paraId="0B5A3AA9">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培训</w:t>
      </w:r>
      <w:r>
        <w:rPr>
          <w:rFonts w:ascii="宋体" w:hAnsi="宋体" w:cs="宋体"/>
          <w:color w:val="000000" w:themeColor="text1"/>
          <w:szCs w:val="21"/>
          <w14:textFill>
            <w14:solidFill>
              <w14:schemeClr w14:val="tx1"/>
            </w14:solidFill>
          </w14:textFill>
        </w:rPr>
        <w:t>手册</w:t>
      </w:r>
      <w:r>
        <w:rPr>
          <w:color w:val="000000" w:themeColor="text1"/>
          <w14:textFill>
            <w14:solidFill>
              <w14:schemeClr w14:val="tx1"/>
            </w14:solidFill>
          </w14:textFill>
        </w:rPr>
        <w:t>应至少详细说明以下内容：</w:t>
      </w:r>
    </w:p>
    <w:p w14:paraId="7295B649">
      <w:pPr>
        <w:pStyle w:val="58"/>
        <w:numPr>
          <w:ilvl w:val="0"/>
          <w:numId w:val="58"/>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有关电池热失控产生易燃有毒气体危害、火灾烟气危害、触电等电气危险的消防安全操作和预防措施；</w:t>
      </w:r>
    </w:p>
    <w:p w14:paraId="6ED9F71A">
      <w:pPr>
        <w:pStyle w:val="58"/>
        <w:numPr>
          <w:ilvl w:val="0"/>
          <w:numId w:val="58"/>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关于电池火灾或电气火灾的灭火行动和灭火程序的须知，包括报告火灾及使用手动报警按钮的程序；</w:t>
      </w:r>
    </w:p>
    <w:p w14:paraId="46828499">
      <w:pPr>
        <w:pStyle w:val="58"/>
        <w:numPr>
          <w:ilvl w:val="0"/>
          <w:numId w:val="58"/>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船上包含电池系统、配电系统和火灾探测系统在内的各类报警的含义及相应的处理程序</w:t>
      </w:r>
      <w:r>
        <w:rPr>
          <w:rFonts w:hint="eastAsia"/>
          <w:color w:val="000000" w:themeColor="text1"/>
          <w14:textFill>
            <w14:solidFill>
              <w14:schemeClr w14:val="tx1"/>
            </w14:solidFill>
          </w14:textFill>
        </w:rPr>
        <w:t>；</w:t>
      </w:r>
    </w:p>
    <w:p w14:paraId="5B18834E">
      <w:pPr>
        <w:pStyle w:val="58"/>
        <w:numPr>
          <w:ilvl w:val="0"/>
          <w:numId w:val="58"/>
        </w:numPr>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灭火系统、灭火设备和应急排气系统的操作和使用</w:t>
      </w:r>
      <w:r>
        <w:rPr>
          <w:rFonts w:hint="eastAsia"/>
          <w:color w:val="000000" w:themeColor="text1"/>
          <w14:textFill>
            <w14:solidFill>
              <w14:schemeClr w14:val="tx1"/>
            </w14:solidFill>
          </w14:textFill>
        </w:rPr>
        <w:t>。</w:t>
      </w:r>
    </w:p>
    <w:p w14:paraId="545E5B55">
      <w:pPr>
        <w:pStyle w:val="53"/>
        <w:numPr>
          <w:ilvl w:val="3"/>
          <w:numId w:val="39"/>
        </w:numPr>
        <w:spacing w:line="240" w:lineRule="auto"/>
        <w:ind w:left="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培训手册可分为若干分册，文字应简明易懂，如有可能，应配以图解说明。</w:t>
      </w:r>
      <w:r>
        <w:rPr>
          <w:rFonts w:hint="eastAsia"/>
          <w:bCs w:val="0"/>
          <w:color w:val="000000" w:themeColor="text1"/>
          <w14:textFill>
            <w14:solidFill>
              <w14:schemeClr w14:val="tx1"/>
            </w14:solidFill>
          </w14:textFill>
        </w:rPr>
        <w:t>对国际航行海船，培训手册应使用工作语言编写。</w:t>
      </w:r>
      <w:r>
        <w:rPr>
          <w:color w:val="000000" w:themeColor="text1"/>
          <w14:textFill>
            <w14:solidFill>
              <w14:schemeClr w14:val="tx1"/>
            </w14:solidFill>
          </w14:textFill>
        </w:rPr>
        <w:t>这些手册的任何部分可以用视听辅助教材形式提供，用以替代手册。</w:t>
      </w:r>
    </w:p>
    <w:p w14:paraId="23E9ECAF">
      <w:pPr>
        <w:pStyle w:val="53"/>
        <w:numPr>
          <w:ilvl w:val="3"/>
          <w:numId w:val="39"/>
        </w:numPr>
        <w:spacing w:line="240" w:lineRule="auto"/>
        <w:ind w:left="0" w:firstLine="420" w:firstLineChars="200"/>
        <w:rPr>
          <w:color w:val="000000" w:themeColor="text1"/>
          <w14:textFill>
            <w14:solidFill>
              <w14:schemeClr w14:val="tx1"/>
            </w14:solidFill>
          </w14:textFill>
        </w:rPr>
      </w:pPr>
      <w:r>
        <w:rPr>
          <w:rFonts w:hint="eastAsia"/>
        </w:rPr>
        <w:t>对于高速船，可将本节11.1.4.1所述内容纳入</w:t>
      </w:r>
      <w:r>
        <w:rPr>
          <w:rFonts w:hint="eastAsia"/>
          <w:color w:val="000000" w:themeColor="text1"/>
          <w14:textFill>
            <w14:solidFill>
              <w14:schemeClr w14:val="tx1"/>
            </w14:solidFill>
          </w14:textFill>
        </w:rPr>
        <w:t>高速</w:t>
      </w:r>
      <w:r>
        <w:rPr>
          <w:rFonts w:hint="eastAsia"/>
        </w:rPr>
        <w:t>船舶培训手册中。</w:t>
      </w:r>
    </w:p>
    <w:p w14:paraId="644FAAD2">
      <w:pPr>
        <w:pStyle w:val="53"/>
        <w:spacing w:line="240" w:lineRule="auto"/>
        <w:ind w:left="0" w:firstLine="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书宋_GBK">
    <w:altName w:val="微软雅黑"/>
    <w:panose1 w:val="02000000000000000000"/>
    <w:charset w:val="86"/>
    <w:family w:val="roman"/>
    <w:pitch w:val="default"/>
    <w:sig w:usb0="00000000" w:usb1="00000000" w:usb2="00000000" w:usb3="00000000" w:csb0="00040000" w:csb1="00000000"/>
  </w:font>
  <w:font w:name="䅂䍄䕅⯋컌">
    <w:altName w:val="仿宋"/>
    <w:panose1 w:val="00000000000000000000"/>
    <w:charset w:val="86"/>
    <w:family w:val="roman"/>
    <w:pitch w:val="default"/>
    <w:sig w:usb0="00000000" w:usb1="00000000" w:usb2="00000010" w:usb3="00000000" w:csb0="00040000" w:csb1="00000000"/>
  </w:font>
  <w:font w:name="ËÎÌå">
    <w:altName w:val="Times New Roman"/>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09318">
    <w:pPr>
      <w:pStyle w:val="9"/>
      <w:framePr w:wrap="around" w:vAnchor="text" w:hAnchor="margin" w:xAlign="center" w:y="1"/>
      <w:rPr>
        <w:rStyle w:val="19"/>
      </w:rPr>
    </w:pPr>
    <w:r>
      <w:rPr>
        <w:rStyle w:val="19"/>
      </w:rPr>
      <w:fldChar w:fldCharType="begin"/>
    </w:r>
    <w:r>
      <w:rPr>
        <w:rStyle w:val="19"/>
      </w:rPr>
      <w:instrText xml:space="preserve">PAGE  </w:instrText>
    </w:r>
    <w:r>
      <w:rPr>
        <w:rStyle w:val="19"/>
      </w:rPr>
      <w:fldChar w:fldCharType="end"/>
    </w:r>
  </w:p>
  <w:p w14:paraId="5304B3CF">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58AF9">
    <w:pPr>
      <w:pStyle w:val="9"/>
      <w:jc w:val="center"/>
    </w:pPr>
    <w:r>
      <w:rPr>
        <w:rStyle w:val="19"/>
      </w:rPr>
      <w:fldChar w:fldCharType="begin"/>
    </w:r>
    <w:r>
      <w:rPr>
        <w:rStyle w:val="19"/>
      </w:rPr>
      <w:instrText xml:space="preserve"> PAGE </w:instrText>
    </w:r>
    <w:r>
      <w:rPr>
        <w:rStyle w:val="19"/>
      </w:rPr>
      <w:fldChar w:fldCharType="separate"/>
    </w:r>
    <w:r>
      <w:rPr>
        <w:rStyle w:val="19"/>
      </w:rPr>
      <w:t>IV</w:t>
    </w:r>
    <w:r>
      <w:rPr>
        <w:rStyle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F27FE">
    <w:pPr>
      <w:pStyle w:val="9"/>
      <w:jc w:val="center"/>
      <w:rPr>
        <w:rFonts w:ascii="Times New Roman" w:hAnsi="Times New Roman" w:cs="Times New Roman"/>
      </w:rPr>
    </w:pPr>
    <w:r>
      <w:rPr>
        <w:rStyle w:val="19"/>
        <w:rFonts w:ascii="Times New Roman" w:hAnsi="Times New Roman" w:cs="Times New Roman"/>
      </w:rPr>
      <w:fldChar w:fldCharType="begin"/>
    </w:r>
    <w:r>
      <w:rPr>
        <w:rStyle w:val="19"/>
        <w:rFonts w:ascii="Times New Roman" w:hAnsi="Times New Roman" w:cs="Times New Roman"/>
      </w:rPr>
      <w:instrText xml:space="preserve"> PAGE </w:instrText>
    </w:r>
    <w:r>
      <w:rPr>
        <w:rStyle w:val="19"/>
        <w:rFonts w:ascii="Times New Roman" w:hAnsi="Times New Roman" w:cs="Times New Roman"/>
      </w:rPr>
      <w:fldChar w:fldCharType="separate"/>
    </w:r>
    <w:r>
      <w:rPr>
        <w:rStyle w:val="19"/>
        <w:rFonts w:ascii="Times New Roman" w:hAnsi="Times New Roman" w:cs="Times New Roman"/>
      </w:rPr>
      <w:t>37</w:t>
    </w:r>
    <w:r>
      <w:rPr>
        <w:rStyle w:val="19"/>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5782C36B">
      <w:pPr>
        <w:pStyle w:val="12"/>
        <w:spacing w:line="300" w:lineRule="exact"/>
        <w:ind w:left="270" w:hanging="270" w:hangingChars="150"/>
        <w:rPr>
          <w:rFonts w:hAnsi="Times New Roman"/>
        </w:rPr>
      </w:pPr>
      <w:r>
        <w:footnoteRef/>
      </w:r>
      <w:r>
        <w:rPr>
          <w:rFonts w:hint="eastAsia"/>
        </w:rPr>
        <w:t>参见</w:t>
      </w:r>
      <w:r>
        <w:rPr>
          <w:rFonts w:ascii="Times New Roman" w:hAnsi="Times New Roman" w:cs="Times New Roman"/>
        </w:rPr>
        <w:t>IMO</w:t>
      </w:r>
      <w:r>
        <w:rPr>
          <w:rFonts w:ascii="Times New Roman" w:hAnsi="Arial" w:cs="Times New Roman"/>
          <w:color w:val="333333"/>
        </w:rPr>
        <w:t>《经修订的机器处所和货泵舱等效固定式气体灭火系统的认可指南》（</w:t>
      </w:r>
      <w:r>
        <w:rPr>
          <w:rFonts w:ascii="Times New Roman" w:hAnsi="Times New Roman" w:cs="Times New Roman"/>
        </w:rPr>
        <w:t>MSC/CIRC.848</w:t>
      </w:r>
      <w:r>
        <w:rPr>
          <w:rFonts w:ascii="Times New Roman" w:cs="Times New Roman"/>
        </w:rPr>
        <w:t>通函</w:t>
      </w:r>
      <w:r>
        <w:rPr>
          <w:rFonts w:ascii="Times New Roman" w:hAnsi="Arial" w:cs="Times New Roman"/>
          <w:color w:val="333333"/>
        </w:rPr>
        <w:t>）</w:t>
      </w:r>
      <w:r>
        <w:rPr>
          <w:rFonts w:ascii="Times New Roman" w:cs="Times New Roman"/>
        </w:rPr>
        <w:t>及其修正案或</w:t>
      </w:r>
      <w:r>
        <w:rPr>
          <w:rFonts w:hint="eastAsia" w:ascii="Times New Roman" w:cs="Times New Roman"/>
        </w:rPr>
        <w:t>本规则第1章3</w:t>
      </w:r>
      <w:r>
        <w:rPr>
          <w:rFonts w:ascii="Times New Roman" w:cs="Times New Roman"/>
        </w:rPr>
        <w:t>.</w:t>
      </w:r>
      <w:r>
        <w:rPr>
          <w:rFonts w:hint="eastAsia" w:ascii="Times New Roman" w:cs="Times New Roman"/>
        </w:rPr>
        <w:t>4至3</w:t>
      </w:r>
      <w:r>
        <w:rPr>
          <w:rFonts w:ascii="Times New Roman" w:cs="Times New Roman"/>
        </w:rPr>
        <w:t>.</w:t>
      </w:r>
      <w:r>
        <w:rPr>
          <w:rFonts w:hint="eastAsia" w:ascii="Times New Roman" w:cs="Times New Roman"/>
        </w:rPr>
        <w:t>7所述规则中</w:t>
      </w:r>
      <w:r>
        <w:rPr>
          <w:rFonts w:ascii="Times New Roman" w:hAnsi="Times New Roman"/>
          <w:color w:val="000000" w:themeColor="text1"/>
          <w14:textFill>
            <w14:solidFill>
              <w14:schemeClr w14:val="tx1"/>
            </w14:solidFill>
          </w14:textFill>
        </w:rPr>
        <w:t>七氟丙烷灭火系统</w:t>
      </w:r>
      <w:r>
        <w:rPr>
          <w:rFonts w:hint="eastAsia" w:ascii="Times New Roman" w:hAnsi="Times New Roman"/>
          <w:color w:val="000000" w:themeColor="text1"/>
          <w14:textFill>
            <w14:solidFill>
              <w14:schemeClr w14:val="tx1"/>
            </w14:solidFill>
          </w14:textFill>
        </w:rPr>
        <w:t>的要求</w:t>
      </w:r>
      <w:r>
        <w:rPr>
          <w:rFonts w:hint="eastAsia" w:ascii="Arial" w:hAnsi="Arial" w:cs="Arial"/>
          <w:color w:val="333333"/>
        </w:rPr>
        <w:t>。</w:t>
      </w:r>
    </w:p>
  </w:footnote>
  <w:footnote w:id="1">
    <w:p w14:paraId="70D30A82">
      <w:pPr>
        <w:pStyle w:val="12"/>
      </w:pPr>
      <w:r>
        <w:rPr>
          <w:rStyle w:val="22"/>
        </w:rPr>
        <w:footnoteRef/>
      </w:r>
      <w:r>
        <w:rPr>
          <w:rFonts w:hint="eastAsia"/>
        </w:rPr>
        <w:t>预制式灭火系统系指按一定的应用条件，将灭火剂储存装置和喷放组件等预先设计、组装成套的灭火系统。</w:t>
      </w:r>
    </w:p>
  </w:footnote>
  <w:footnote w:id="2">
    <w:p w14:paraId="4EA693A6">
      <w:pPr>
        <w:pStyle w:val="12"/>
        <w:rPr>
          <w:rFonts w:ascii="Times New Roman" w:hAnsi="Times New Roman" w:cs="Times New Roman"/>
        </w:rPr>
      </w:pPr>
      <w:r>
        <w:rPr>
          <w:rStyle w:val="22"/>
          <w:rFonts w:ascii="Times New Roman" w:hAnsi="Times New Roman" w:cs="Times New Roman"/>
        </w:rPr>
        <w:footnoteRef/>
      </w:r>
      <w:r>
        <w:rPr>
          <w:rFonts w:ascii="Times New Roman" w:cs="Times New Roman"/>
        </w:rPr>
        <w:t>如</w:t>
      </w:r>
      <w:r>
        <w:rPr>
          <w:rFonts w:ascii="Times New Roman" w:hAnsi="Times New Roman" w:cs="Times New Roman"/>
        </w:rPr>
        <w:t>GB 19156-2019</w:t>
      </w:r>
      <w:r>
        <w:rPr>
          <w:rFonts w:ascii="Times New Roman" w:cs="Times New Roman"/>
        </w:rPr>
        <w:t>《消防炮》，或参见</w:t>
      </w:r>
      <w:r>
        <w:rPr>
          <w:rFonts w:ascii="Times New Roman" w:hAnsi="Times New Roman" w:eastAsia="ËÎÌå" w:cs="Times New Roman"/>
          <w:color w:val="000000"/>
          <w:kern w:val="0"/>
          <w:szCs w:val="21"/>
        </w:rPr>
        <w:t>MSC.1/Circ.1472</w:t>
      </w:r>
      <w:r>
        <w:rPr>
          <w:rFonts w:ascii="Times New Roman" w:hAnsi="Times New Roman" w:eastAsia="䅂䍄䕅⯋컌" w:cs="Times New Roman"/>
          <w:color w:val="000000"/>
          <w:kern w:val="0"/>
          <w:szCs w:val="21"/>
        </w:rPr>
        <w:t>通函</w:t>
      </w:r>
      <w:r>
        <w:rPr>
          <w:rFonts w:hint="eastAsia" w:ascii="Times New Roman" w:hAnsi="Times New Roman" w:eastAsia="䅂䍄䕅⯋컌" w:cs="Times New Roman"/>
          <w:color w:val="000000"/>
          <w:kern w:val="0"/>
          <w:szCs w:val="21"/>
        </w:rPr>
        <w:t>“</w:t>
      </w:r>
      <w:r>
        <w:rPr>
          <w:rFonts w:ascii="Times New Roman" w:hAnsi="Times New Roman" w:eastAsia="䅂䍄䕅⯋컌" w:cs="Times New Roman"/>
          <w:color w:val="000000"/>
          <w:kern w:val="0"/>
          <w:szCs w:val="21"/>
        </w:rPr>
        <w:t>用于保护拟设计和建造为在露天甲板或其上方装载五层或五层以上集装箱的船舶的甲板上货物区域的移动式消防水炮的设计、性能、试验和认可指南</w:t>
      </w:r>
      <w:r>
        <w:rPr>
          <w:rFonts w:hint="eastAsia" w:ascii="Times New Roman" w:hAnsi="Times New Roman" w:eastAsia="䅂䍄䕅⯋컌" w:cs="Times New Roman"/>
          <w:color w:val="000000"/>
          <w:kern w:val="0"/>
          <w:szCs w:val="21"/>
        </w:rPr>
        <w:t>”</w:t>
      </w:r>
      <w:r>
        <w:rPr>
          <w:rFonts w:ascii="Times New Roman" w:hAnsi="Times New Roman" w:eastAsia="䅂䍄䕅⯋컌" w:cs="Times New Roman"/>
          <w:color w:val="000000"/>
          <w:kern w:val="0"/>
          <w:szCs w:val="21"/>
        </w:rPr>
        <w:t>。</w:t>
      </w:r>
    </w:p>
  </w:footnote>
  <w:footnote w:id="3">
    <w:p w14:paraId="5AC465F1">
      <w:pPr>
        <w:pStyle w:val="12"/>
      </w:pPr>
      <w:r>
        <w:rPr>
          <w:rStyle w:val="22"/>
        </w:rPr>
        <w:footnoteRef/>
      </w:r>
      <w:r>
        <w:rPr>
          <w:rFonts w:hint="eastAsia"/>
        </w:rPr>
        <w:t>可参考《经修订的</w:t>
      </w:r>
      <w:r>
        <w:rPr>
          <w:rFonts w:ascii="Times New Roman" w:cs="Times New Roman"/>
        </w:rPr>
        <w:t>在</w:t>
      </w:r>
      <w:r>
        <w:rPr>
          <w:rFonts w:ascii="Times New Roman" w:hAnsi="Times New Roman" w:cs="Times New Roman"/>
        </w:rPr>
        <w:t>IMO</w:t>
      </w:r>
      <w:r>
        <w:rPr>
          <w:rFonts w:ascii="Times New Roman" w:cs="Times New Roman"/>
        </w:rPr>
        <w:t>规则制定过程中使用综合安全评估（</w:t>
      </w:r>
      <w:r>
        <w:rPr>
          <w:rFonts w:ascii="Times New Roman" w:hAnsi="Times New Roman" w:cs="Times New Roman"/>
        </w:rPr>
        <w:t>FSA</w:t>
      </w:r>
      <w:r>
        <w:rPr>
          <w:rFonts w:ascii="Times New Roman" w:cs="Times New Roman"/>
        </w:rPr>
        <w:t>）指南》（</w:t>
      </w:r>
      <w:r>
        <w:rPr>
          <w:rFonts w:ascii="Times New Roman" w:hAnsi="Times New Roman" w:cs="Times New Roman"/>
        </w:rPr>
        <w:t>MSC-MEPC.2/Circ.12</w:t>
      </w:r>
      <w:r>
        <w:rPr>
          <w:rFonts w:asci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92AE"/>
    <w:multiLevelType w:val="multilevel"/>
    <w:tmpl w:val="935892A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0" w:hanging="850"/>
      </w:pPr>
    </w:lvl>
    <w:lvl w:ilvl="4" w:tentative="0">
      <w:start w:val="1"/>
      <w:numFmt w:val="decimal"/>
      <w:lvlText w:val="%1.%2.%3.%4.%5."/>
      <w:lvlJc w:val="left"/>
      <w:pPr>
        <w:ind w:left="991" w:hanging="991"/>
      </w:pPr>
    </w:lvl>
    <w:lvl w:ilvl="5" w:tentative="0">
      <w:start w:val="1"/>
      <w:numFmt w:val="decimal"/>
      <w:lvlText w:val="%1.%2.%3.%4.%5.%6."/>
      <w:lvlJc w:val="left"/>
      <w:pPr>
        <w:ind w:left="1134" w:hanging="1134"/>
      </w:pPr>
    </w:lvl>
    <w:lvl w:ilvl="6" w:tentative="0">
      <w:start w:val="1"/>
      <w:numFmt w:val="decimal"/>
      <w:lvlText w:val="%1.%2.%3.%4.%5.%6.%7."/>
      <w:lvlJc w:val="left"/>
      <w:pPr>
        <w:ind w:left="1275" w:hanging="1275"/>
      </w:pPr>
    </w:lvl>
    <w:lvl w:ilvl="7" w:tentative="0">
      <w:start w:val="1"/>
      <w:numFmt w:val="decimal"/>
      <w:lvlText w:val="%1.%2.%3.%4.%5.%6.%7.%8."/>
      <w:lvlJc w:val="left"/>
      <w:pPr>
        <w:ind w:left="1418" w:hanging="1418"/>
      </w:pPr>
    </w:lvl>
    <w:lvl w:ilvl="8" w:tentative="0">
      <w:start w:val="1"/>
      <w:numFmt w:val="decimal"/>
      <w:lvlText w:val="%1.%2.%3.%4.%5.%6.%7.%8.%9."/>
      <w:lvlJc w:val="left"/>
      <w:pPr>
        <w:ind w:left="1558" w:hanging="1558"/>
      </w:pPr>
    </w:lvl>
  </w:abstractNum>
  <w:abstractNum w:abstractNumId="1">
    <w:nsid w:val="A6FA4E51"/>
    <w:multiLevelType w:val="singleLevel"/>
    <w:tmpl w:val="A6FA4E51"/>
    <w:lvl w:ilvl="0" w:tentative="0">
      <w:start w:val="1"/>
      <w:numFmt w:val="decimal"/>
      <w:suff w:val="nothing"/>
      <w:lvlText w:val="%1、"/>
      <w:lvlJc w:val="left"/>
    </w:lvl>
  </w:abstractNum>
  <w:abstractNum w:abstractNumId="2">
    <w:nsid w:val="AF4DBD8B"/>
    <w:multiLevelType w:val="singleLevel"/>
    <w:tmpl w:val="AF4DBD8B"/>
    <w:lvl w:ilvl="0" w:tentative="0">
      <w:start w:val="1"/>
      <w:numFmt w:val="decimal"/>
      <w:suff w:val="nothing"/>
      <w:lvlText w:val="%1、"/>
      <w:lvlJc w:val="left"/>
      <w:pPr>
        <w:ind w:left="210"/>
      </w:pPr>
      <w:rPr>
        <w:rFonts w:hint="default"/>
        <w:b/>
        <w:bCs/>
      </w:rPr>
    </w:lvl>
  </w:abstractNum>
  <w:abstractNum w:abstractNumId="3">
    <w:nsid w:val="C141FEC5"/>
    <w:multiLevelType w:val="singleLevel"/>
    <w:tmpl w:val="C141FEC5"/>
    <w:lvl w:ilvl="0" w:tentative="0">
      <w:start w:val="2"/>
      <w:numFmt w:val="decimal"/>
      <w:suff w:val="space"/>
      <w:lvlText w:val="第%1章"/>
      <w:lvlJc w:val="left"/>
      <w:rPr>
        <w:rFonts w:hint="default"/>
        <w:b/>
        <w:bCs/>
      </w:rPr>
    </w:lvl>
  </w:abstractNum>
  <w:abstractNum w:abstractNumId="4">
    <w:nsid w:val="FBBDE684"/>
    <w:multiLevelType w:val="singleLevel"/>
    <w:tmpl w:val="FBBDE684"/>
    <w:lvl w:ilvl="0" w:tentative="0">
      <w:start w:val="1"/>
      <w:numFmt w:val="decimal"/>
      <w:suff w:val="nothing"/>
      <w:lvlText w:val="%1、"/>
      <w:lvlJc w:val="left"/>
    </w:lvl>
  </w:abstractNum>
  <w:abstractNum w:abstractNumId="5">
    <w:nsid w:val="091E74C7"/>
    <w:multiLevelType w:val="multilevel"/>
    <w:tmpl w:val="091E74C7"/>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0A102D9B"/>
    <w:multiLevelType w:val="multilevel"/>
    <w:tmpl w:val="0A102D9B"/>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
    <w:nsid w:val="0AE5740F"/>
    <w:multiLevelType w:val="singleLevel"/>
    <w:tmpl w:val="0AE5740F"/>
    <w:lvl w:ilvl="0" w:tentative="0">
      <w:start w:val="1"/>
      <w:numFmt w:val="decimal"/>
      <w:suff w:val="nothing"/>
      <w:lvlText w:val="%1、"/>
      <w:lvlJc w:val="left"/>
    </w:lvl>
  </w:abstractNum>
  <w:abstractNum w:abstractNumId="8">
    <w:nsid w:val="0BC0E558"/>
    <w:multiLevelType w:val="singleLevel"/>
    <w:tmpl w:val="0BC0E558"/>
    <w:lvl w:ilvl="0" w:tentative="0">
      <w:start w:val="1"/>
      <w:numFmt w:val="decimal"/>
      <w:suff w:val="nothing"/>
      <w:lvlText w:val="%1、"/>
      <w:lvlJc w:val="left"/>
    </w:lvl>
  </w:abstractNum>
  <w:abstractNum w:abstractNumId="9">
    <w:nsid w:val="0BE2156A"/>
    <w:multiLevelType w:val="multilevel"/>
    <w:tmpl w:val="0BE2156A"/>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0">
    <w:nsid w:val="0D634490"/>
    <w:multiLevelType w:val="multilevel"/>
    <w:tmpl w:val="0D634490"/>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1">
    <w:nsid w:val="0D6D4C12"/>
    <w:multiLevelType w:val="multilevel"/>
    <w:tmpl w:val="0D6D4C12"/>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2">
    <w:nsid w:val="0F1D770C"/>
    <w:multiLevelType w:val="multilevel"/>
    <w:tmpl w:val="0F1D770C"/>
    <w:lvl w:ilvl="0" w:tentative="0">
      <w:start w:val="1"/>
      <w:numFmt w:val="decimalEnclosedCircle"/>
      <w:lvlText w:val="%1"/>
      <w:lvlJc w:val="left"/>
      <w:pPr>
        <w:ind w:left="1271" w:hanging="420"/>
      </w:pPr>
      <w:rPr>
        <w:rFonts w:hint="default" w:ascii="宋体" w:hAnsi="宋体" w:eastAsia="宋体"/>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13">
    <w:nsid w:val="0FBC5DED"/>
    <w:multiLevelType w:val="multilevel"/>
    <w:tmpl w:val="0FBC5DED"/>
    <w:lvl w:ilvl="0" w:tentative="0">
      <w:start w:val="1"/>
      <w:numFmt w:val="decimal"/>
      <w:suff w:val="space"/>
      <w:lvlText w:val="第%1章"/>
      <w:lvlJc w:val="left"/>
      <w:pPr>
        <w:ind w:left="0" w:firstLine="0"/>
      </w:pPr>
      <w:rPr>
        <w:rFonts w:hint="default"/>
      </w:rPr>
    </w:lvl>
    <w:lvl w:ilvl="1" w:tentative="0">
      <w:start w:val="1"/>
      <w:numFmt w:val="decimal"/>
      <w:suff w:val="space"/>
      <w:lvlText w:val="第%2节"/>
      <w:lvlJc w:val="left"/>
      <w:pPr>
        <w:ind w:left="1560" w:hanging="1560"/>
      </w:pPr>
      <w:rPr>
        <w:rFonts w:hint="eastAsia"/>
      </w:rPr>
    </w:lvl>
    <w:lvl w:ilvl="2" w:tentative="0">
      <w:start w:val="1"/>
      <w:numFmt w:val="decimal"/>
      <w:suff w:val="space"/>
      <w:lvlText w:val="%1.%2.%3"/>
      <w:lvlJc w:val="left"/>
      <w:pPr>
        <w:ind w:left="0" w:firstLine="454"/>
      </w:pPr>
      <w:rPr>
        <w:rFonts w:hint="default" w:ascii="Times New Roman" w:hAnsi="Times New Roman" w:cs="Times New Roman"/>
        <w:b/>
      </w:rPr>
    </w:lvl>
    <w:lvl w:ilvl="3" w:tentative="0">
      <w:start w:val="1"/>
      <w:numFmt w:val="decimal"/>
      <w:suff w:val="space"/>
      <w:lvlText w:val="%1.%2.%3.%4"/>
      <w:lvlJc w:val="left"/>
      <w:pPr>
        <w:ind w:left="397" w:firstLine="454"/>
      </w:pPr>
      <w:rPr>
        <w:rFonts w:hint="default" w:ascii="Times New Roman" w:hAnsi="Times New Roman" w:cs="Times New Roman"/>
        <w:strike w:val="0"/>
        <w:color w:val="auto"/>
      </w:rPr>
    </w:lvl>
    <w:lvl w:ilvl="4" w:tentative="0">
      <w:start w:val="1"/>
      <w:numFmt w:val="lowerLetter"/>
      <w:lvlText w:val="%5)"/>
      <w:lvlJc w:val="left"/>
      <w:pPr>
        <w:ind w:left="2820" w:hanging="1140"/>
      </w:pPr>
      <w:rPr>
        <w:rFonts w:hint="eastAsia"/>
      </w:rPr>
    </w:lvl>
    <w:lvl w:ilvl="5" w:tentative="0">
      <w:start w:val="1"/>
      <w:numFmt w:val="lowerRoman"/>
      <w:lvlText w:val="%6."/>
      <w:lvlJc w:val="right"/>
      <w:pPr>
        <w:ind w:left="3240" w:hanging="1140"/>
      </w:pPr>
      <w:rPr>
        <w:rFonts w:hint="eastAsia"/>
      </w:rPr>
    </w:lvl>
    <w:lvl w:ilvl="6" w:tentative="0">
      <w:start w:val="1"/>
      <w:numFmt w:val="decimal"/>
      <w:lvlText w:val="%7."/>
      <w:lvlJc w:val="left"/>
      <w:pPr>
        <w:ind w:left="3660" w:hanging="1140"/>
      </w:pPr>
      <w:rPr>
        <w:rFonts w:hint="eastAsia"/>
      </w:rPr>
    </w:lvl>
    <w:lvl w:ilvl="7" w:tentative="0">
      <w:start w:val="1"/>
      <w:numFmt w:val="lowerLetter"/>
      <w:lvlText w:val="%8)"/>
      <w:lvlJc w:val="left"/>
      <w:pPr>
        <w:ind w:left="4080" w:hanging="1140"/>
      </w:pPr>
      <w:rPr>
        <w:rFonts w:hint="eastAsia"/>
      </w:rPr>
    </w:lvl>
    <w:lvl w:ilvl="8" w:tentative="0">
      <w:start w:val="1"/>
      <w:numFmt w:val="lowerRoman"/>
      <w:lvlText w:val="%9."/>
      <w:lvlJc w:val="right"/>
      <w:pPr>
        <w:ind w:left="4500" w:hanging="1140"/>
      </w:pPr>
      <w:rPr>
        <w:rFonts w:hint="eastAsia"/>
      </w:rPr>
    </w:lvl>
  </w:abstractNum>
  <w:abstractNum w:abstractNumId="14">
    <w:nsid w:val="10803829"/>
    <w:multiLevelType w:val="multilevel"/>
    <w:tmpl w:val="10803829"/>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5">
    <w:nsid w:val="10CD44A1"/>
    <w:multiLevelType w:val="multilevel"/>
    <w:tmpl w:val="10CD44A1"/>
    <w:lvl w:ilvl="0" w:tentative="0">
      <w:start w:val="1"/>
      <w:numFmt w:val="decimal"/>
      <w:pStyle w:val="58"/>
      <w:suff w:val="nothing"/>
      <w:lvlText w:val="（%1）"/>
      <w:lvlJc w:val="left"/>
      <w:pPr>
        <w:ind w:left="840" w:hanging="420"/>
      </w:pPr>
      <w:rPr>
        <w:rFonts w:hint="eastAsia"/>
        <w:lang w:val="en-US"/>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6">
    <w:nsid w:val="11092CD4"/>
    <w:multiLevelType w:val="multilevel"/>
    <w:tmpl w:val="11092CD4"/>
    <w:lvl w:ilvl="0" w:tentative="0">
      <w:start w:val="1"/>
      <w:numFmt w:val="decimalEnclosedCircle"/>
      <w:lvlText w:val="%1"/>
      <w:lvlJc w:val="left"/>
      <w:pPr>
        <w:ind w:left="1271" w:hanging="420"/>
      </w:pPr>
      <w:rPr>
        <w:rFonts w:hint="default" w:ascii="宋体" w:hAnsi="宋体" w:eastAsia="宋体"/>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17">
    <w:nsid w:val="15DCBF3E"/>
    <w:multiLevelType w:val="singleLevel"/>
    <w:tmpl w:val="15DCBF3E"/>
    <w:lvl w:ilvl="0" w:tentative="0">
      <w:start w:val="1"/>
      <w:numFmt w:val="decimal"/>
      <w:suff w:val="nothing"/>
      <w:lvlText w:val="%1、"/>
      <w:lvlJc w:val="left"/>
    </w:lvl>
  </w:abstractNum>
  <w:abstractNum w:abstractNumId="18">
    <w:nsid w:val="18E40873"/>
    <w:multiLevelType w:val="multilevel"/>
    <w:tmpl w:val="18E40873"/>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9">
    <w:nsid w:val="18EC5BE1"/>
    <w:multiLevelType w:val="multilevel"/>
    <w:tmpl w:val="18EC5BE1"/>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0">
    <w:nsid w:val="1A4C1596"/>
    <w:multiLevelType w:val="multilevel"/>
    <w:tmpl w:val="1A4C1596"/>
    <w:lvl w:ilvl="0" w:tentative="0">
      <w:start w:val="1"/>
      <w:numFmt w:val="lowerLetter"/>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21">
    <w:nsid w:val="1C120F06"/>
    <w:multiLevelType w:val="multilevel"/>
    <w:tmpl w:val="1C120F06"/>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2">
    <w:nsid w:val="1EB53995"/>
    <w:multiLevelType w:val="multilevel"/>
    <w:tmpl w:val="1EB53995"/>
    <w:lvl w:ilvl="0" w:tentative="0">
      <w:start w:val="10"/>
      <w:numFmt w:val="chineseCountingThousand"/>
      <w:pStyle w:val="69"/>
      <w:suff w:val="space"/>
      <w:lvlText w:val="第%1章"/>
      <w:lvlJc w:val="left"/>
      <w:pPr>
        <w:ind w:left="0" w:firstLine="0"/>
      </w:pPr>
    </w:lvl>
    <w:lvl w:ilvl="1" w:tentative="0">
      <w:start w:val="1"/>
      <w:numFmt w:val="decimal"/>
      <w:pStyle w:val="70"/>
      <w:isLgl/>
      <w:suff w:val="space"/>
      <w:lvlText w:val="第%2节"/>
      <w:lvlJc w:val="left"/>
      <w:pPr>
        <w:ind w:left="0" w:firstLine="0"/>
      </w:pPr>
    </w:lvl>
    <w:lvl w:ilvl="2" w:tentative="0">
      <w:start w:val="1"/>
      <w:numFmt w:val="decimal"/>
      <w:pStyle w:val="72"/>
      <w:isLgl/>
      <w:suff w:val="space"/>
      <w:lvlText w:val="%1.%2.%3"/>
      <w:lvlJc w:val="left"/>
      <w:pPr>
        <w:ind w:left="3827" w:firstLine="0"/>
      </w:pPr>
    </w:lvl>
    <w:lvl w:ilvl="3" w:tentative="0">
      <w:start w:val="1"/>
      <w:numFmt w:val="decimal"/>
      <w:pStyle w:val="74"/>
      <w:isLgl/>
      <w:suff w:val="space"/>
      <w:lvlText w:val="%1.%2.%3.%4"/>
      <w:lvlJc w:val="left"/>
      <w:pPr>
        <w:ind w:left="568" w:firstLine="0"/>
      </w:pPr>
    </w:lvl>
    <w:lvl w:ilvl="4" w:tentative="0">
      <w:start w:val="1"/>
      <w:numFmt w:val="decimal"/>
      <w:pStyle w:val="76"/>
      <w:suff w:val="space"/>
      <w:lvlText w:val="（%5）"/>
      <w:lvlJc w:val="left"/>
      <w:pPr>
        <w:ind w:left="4423" w:firstLine="113"/>
      </w:pPr>
    </w:lvl>
    <w:lvl w:ilvl="5" w:tentative="0">
      <w:start w:val="1"/>
      <w:numFmt w:val="bullet"/>
      <w:suff w:val="space"/>
      <w:lvlText w:val="①"/>
      <w:lvlJc w:val="left"/>
      <w:pPr>
        <w:ind w:left="1134" w:hanging="680"/>
      </w:pPr>
      <w:rPr>
        <w:rFonts w:hint="eastAsia" w:ascii="宋体" w:hAnsi="宋体" w:eastAsia="宋体"/>
        <w:color w:val="auto"/>
      </w:rPr>
    </w:lvl>
    <w:lvl w:ilvl="6" w:tentative="0">
      <w:start w:val="1"/>
      <w:numFmt w:val="lowerLetter"/>
      <w:pStyle w:val="79"/>
      <w:suff w:val="space"/>
      <w:lvlText w:val="%7）"/>
      <w:lvlJc w:val="left"/>
      <w:pPr>
        <w:ind w:left="1588" w:hanging="794"/>
      </w:pPr>
    </w:lvl>
    <w:lvl w:ilvl="7" w:tentative="0">
      <w:start w:val="1"/>
      <w:numFmt w:val="decimal"/>
      <w:lvlText w:val="%1.%2.%3.%4.%5.%6.%7.%8"/>
      <w:lvlJc w:val="left"/>
      <w:pPr>
        <w:ind w:left="3400" w:hanging="425"/>
      </w:pPr>
    </w:lvl>
    <w:lvl w:ilvl="8" w:tentative="0">
      <w:start w:val="1"/>
      <w:numFmt w:val="decimal"/>
      <w:lvlText w:val="%1.%2.%3.%4.%5.%6.%7.%8.%9"/>
      <w:lvlJc w:val="left"/>
      <w:pPr>
        <w:ind w:left="3825" w:hanging="425"/>
      </w:pPr>
    </w:lvl>
  </w:abstractNum>
  <w:abstractNum w:abstractNumId="23">
    <w:nsid w:val="1F7F0348"/>
    <w:multiLevelType w:val="multilevel"/>
    <w:tmpl w:val="1F7F0348"/>
    <w:lvl w:ilvl="0" w:tentative="0">
      <w:start w:val="1"/>
      <w:numFmt w:val="decimalEnclosedCircle"/>
      <w:lvlText w:val="%1"/>
      <w:lvlJc w:val="left"/>
      <w:pPr>
        <w:ind w:left="1271" w:hanging="420"/>
      </w:pPr>
      <w:rPr>
        <w:rFonts w:hint="default" w:ascii="宋体" w:hAnsi="宋体" w:eastAsia="宋体"/>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24">
    <w:nsid w:val="22141422"/>
    <w:multiLevelType w:val="multilevel"/>
    <w:tmpl w:val="22141422"/>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5">
    <w:nsid w:val="2259A2B3"/>
    <w:multiLevelType w:val="singleLevel"/>
    <w:tmpl w:val="2259A2B3"/>
    <w:lvl w:ilvl="0" w:tentative="0">
      <w:start w:val="1"/>
      <w:numFmt w:val="decimal"/>
      <w:suff w:val="nothing"/>
      <w:lvlText w:val="%1、"/>
      <w:lvlJc w:val="left"/>
    </w:lvl>
  </w:abstractNum>
  <w:abstractNum w:abstractNumId="26">
    <w:nsid w:val="2A7B7671"/>
    <w:multiLevelType w:val="multilevel"/>
    <w:tmpl w:val="2A7B7671"/>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7">
    <w:nsid w:val="2C230688"/>
    <w:multiLevelType w:val="multilevel"/>
    <w:tmpl w:val="2C230688"/>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8">
    <w:nsid w:val="2D612DC4"/>
    <w:multiLevelType w:val="multilevel"/>
    <w:tmpl w:val="2D612DC4"/>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9">
    <w:nsid w:val="2DF41974"/>
    <w:multiLevelType w:val="multilevel"/>
    <w:tmpl w:val="2DF41974"/>
    <w:lvl w:ilvl="0" w:tentative="0">
      <w:start w:val="1"/>
      <w:numFmt w:val="decimalEnclosedCircle"/>
      <w:lvlText w:val="%1"/>
      <w:lvlJc w:val="left"/>
      <w:pPr>
        <w:ind w:left="1271" w:hanging="420"/>
      </w:pPr>
      <w:rPr>
        <w:rFonts w:hint="default" w:ascii="宋体" w:hAnsi="宋体" w:eastAsia="宋体"/>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30">
    <w:nsid w:val="317D374F"/>
    <w:multiLevelType w:val="multilevel"/>
    <w:tmpl w:val="317D374F"/>
    <w:lvl w:ilvl="0" w:tentative="0">
      <w:start w:val="3"/>
      <w:numFmt w:val="decimal"/>
      <w:suff w:val="space"/>
      <w:lvlText w:val="第%1章"/>
      <w:lvlJc w:val="left"/>
      <w:pPr>
        <w:ind w:left="0" w:firstLine="0"/>
      </w:pPr>
      <w:rPr>
        <w:rFonts w:hint="default"/>
        <w:lang w:val="en-US"/>
      </w:rPr>
    </w:lvl>
    <w:lvl w:ilvl="1" w:tentative="0">
      <w:start w:val="1"/>
      <w:numFmt w:val="decimal"/>
      <w:suff w:val="space"/>
      <w:lvlText w:val="第%2节"/>
      <w:lvlJc w:val="left"/>
      <w:pPr>
        <w:ind w:left="1560" w:hanging="1560"/>
      </w:pPr>
      <w:rPr>
        <w:rFonts w:hint="eastAsia"/>
      </w:rPr>
    </w:lvl>
    <w:lvl w:ilvl="2" w:tentative="0">
      <w:start w:val="1"/>
      <w:numFmt w:val="decimal"/>
      <w:suff w:val="space"/>
      <w:lvlText w:val="%1.%2.%3"/>
      <w:lvlJc w:val="left"/>
      <w:pPr>
        <w:ind w:left="0" w:firstLine="454"/>
      </w:pPr>
      <w:rPr>
        <w:rFonts w:hint="default" w:ascii="Times New Roman" w:hAnsi="Times New Roman" w:cs="Times New Roman"/>
        <w:b/>
      </w:rPr>
    </w:lvl>
    <w:lvl w:ilvl="3" w:tentative="0">
      <w:start w:val="1"/>
      <w:numFmt w:val="decimal"/>
      <w:suff w:val="space"/>
      <w:lvlText w:val="%1.%2.%3.%4"/>
      <w:lvlJc w:val="left"/>
      <w:pPr>
        <w:ind w:left="397" w:firstLine="454"/>
      </w:pPr>
      <w:rPr>
        <w:rFonts w:hint="default" w:ascii="Times New Roman" w:hAnsi="Times New Roman" w:cs="Times New Roman"/>
        <w:strike w:val="0"/>
        <w:color w:val="auto"/>
      </w:rPr>
    </w:lvl>
    <w:lvl w:ilvl="4" w:tentative="0">
      <w:start w:val="1"/>
      <w:numFmt w:val="lowerLetter"/>
      <w:lvlText w:val="%5)"/>
      <w:lvlJc w:val="left"/>
      <w:pPr>
        <w:ind w:left="2820" w:hanging="1140"/>
      </w:pPr>
      <w:rPr>
        <w:rFonts w:hint="eastAsia"/>
      </w:rPr>
    </w:lvl>
    <w:lvl w:ilvl="5" w:tentative="0">
      <w:start w:val="1"/>
      <w:numFmt w:val="lowerRoman"/>
      <w:lvlText w:val="%6."/>
      <w:lvlJc w:val="right"/>
      <w:pPr>
        <w:ind w:left="3240" w:hanging="1140"/>
      </w:pPr>
      <w:rPr>
        <w:rFonts w:hint="eastAsia"/>
      </w:rPr>
    </w:lvl>
    <w:lvl w:ilvl="6" w:tentative="0">
      <w:start w:val="1"/>
      <w:numFmt w:val="decimal"/>
      <w:lvlText w:val="%7."/>
      <w:lvlJc w:val="left"/>
      <w:pPr>
        <w:ind w:left="3660" w:hanging="1140"/>
      </w:pPr>
      <w:rPr>
        <w:rFonts w:hint="eastAsia"/>
      </w:rPr>
    </w:lvl>
    <w:lvl w:ilvl="7" w:tentative="0">
      <w:start w:val="1"/>
      <w:numFmt w:val="lowerLetter"/>
      <w:lvlText w:val="%8)"/>
      <w:lvlJc w:val="left"/>
      <w:pPr>
        <w:ind w:left="4080" w:hanging="1140"/>
      </w:pPr>
      <w:rPr>
        <w:rFonts w:hint="eastAsia"/>
      </w:rPr>
    </w:lvl>
    <w:lvl w:ilvl="8" w:tentative="0">
      <w:start w:val="1"/>
      <w:numFmt w:val="lowerRoman"/>
      <w:lvlText w:val="%9."/>
      <w:lvlJc w:val="right"/>
      <w:pPr>
        <w:ind w:left="4500" w:hanging="1140"/>
      </w:pPr>
      <w:rPr>
        <w:rFonts w:hint="eastAsia"/>
      </w:rPr>
    </w:lvl>
  </w:abstractNum>
  <w:abstractNum w:abstractNumId="31">
    <w:nsid w:val="318339FA"/>
    <w:multiLevelType w:val="multilevel"/>
    <w:tmpl w:val="318339FA"/>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2">
    <w:nsid w:val="32DF603F"/>
    <w:multiLevelType w:val="multilevel"/>
    <w:tmpl w:val="32DF603F"/>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3">
    <w:nsid w:val="334F13ED"/>
    <w:multiLevelType w:val="multilevel"/>
    <w:tmpl w:val="334F13ED"/>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4">
    <w:nsid w:val="34BB3228"/>
    <w:multiLevelType w:val="multilevel"/>
    <w:tmpl w:val="34BB3228"/>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5">
    <w:nsid w:val="36F3B6E0"/>
    <w:multiLevelType w:val="singleLevel"/>
    <w:tmpl w:val="36F3B6E0"/>
    <w:lvl w:ilvl="0" w:tentative="0">
      <w:start w:val="1"/>
      <w:numFmt w:val="decimal"/>
      <w:suff w:val="nothing"/>
      <w:lvlText w:val="%1、"/>
      <w:lvlJc w:val="left"/>
    </w:lvl>
  </w:abstractNum>
  <w:abstractNum w:abstractNumId="36">
    <w:nsid w:val="380F591C"/>
    <w:multiLevelType w:val="multilevel"/>
    <w:tmpl w:val="380F591C"/>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7">
    <w:nsid w:val="3C3A3790"/>
    <w:multiLevelType w:val="multilevel"/>
    <w:tmpl w:val="3C3A3790"/>
    <w:lvl w:ilvl="0" w:tentative="0">
      <w:start w:val="1"/>
      <w:numFmt w:val="decimal"/>
      <w:pStyle w:val="56"/>
      <w:suff w:val="nothing"/>
      <w:lvlText w:val="（%1）"/>
      <w:lvlJc w:val="left"/>
      <w:pPr>
        <w:ind w:left="840" w:hanging="420"/>
      </w:pPr>
      <w:rPr>
        <w:rFonts w:hint="eastAsia"/>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3E766F05"/>
    <w:multiLevelType w:val="multilevel"/>
    <w:tmpl w:val="3E766F05"/>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9">
    <w:nsid w:val="46D23A1A"/>
    <w:multiLevelType w:val="multilevel"/>
    <w:tmpl w:val="46D23A1A"/>
    <w:lvl w:ilvl="0" w:tentative="0">
      <w:start w:val="1"/>
      <w:numFmt w:val="decimalEnclosedCircle"/>
      <w:lvlText w:val="%1"/>
      <w:lvlJc w:val="left"/>
      <w:pPr>
        <w:ind w:left="1271" w:hanging="420"/>
      </w:pPr>
      <w:rPr>
        <w:rFonts w:hint="default" w:ascii="宋体" w:hAnsi="宋体" w:eastAsia="宋体"/>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40">
    <w:nsid w:val="481765C2"/>
    <w:multiLevelType w:val="multilevel"/>
    <w:tmpl w:val="481765C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0" w:hanging="850"/>
      </w:pPr>
      <w:rPr>
        <w:rFonts w:hint="eastAsia"/>
      </w:rPr>
    </w:lvl>
    <w:lvl w:ilvl="4" w:tentative="0">
      <w:start w:val="1"/>
      <w:numFmt w:val="decimal"/>
      <w:lvlText w:val="%1.%2.%3.%4.%5."/>
      <w:lvlJc w:val="left"/>
      <w:pPr>
        <w:ind w:left="991" w:hanging="991"/>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5" w:hanging="1275"/>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8" w:hanging="1558"/>
      </w:pPr>
      <w:rPr>
        <w:rFonts w:hint="eastAsia"/>
      </w:rPr>
    </w:lvl>
  </w:abstractNum>
  <w:abstractNum w:abstractNumId="41">
    <w:nsid w:val="490789A9"/>
    <w:multiLevelType w:val="singleLevel"/>
    <w:tmpl w:val="490789A9"/>
    <w:lvl w:ilvl="0" w:tentative="0">
      <w:start w:val="1"/>
      <w:numFmt w:val="decimal"/>
      <w:suff w:val="nothing"/>
      <w:lvlText w:val="%1、"/>
      <w:lvlJc w:val="left"/>
    </w:lvl>
  </w:abstractNum>
  <w:abstractNum w:abstractNumId="42">
    <w:nsid w:val="4B082A4B"/>
    <w:multiLevelType w:val="multilevel"/>
    <w:tmpl w:val="4B082A4B"/>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3">
    <w:nsid w:val="4B942C68"/>
    <w:multiLevelType w:val="multilevel"/>
    <w:tmpl w:val="4B942C68"/>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4">
    <w:nsid w:val="4C1A5448"/>
    <w:multiLevelType w:val="multilevel"/>
    <w:tmpl w:val="4C1A5448"/>
    <w:lvl w:ilvl="0" w:tentative="0">
      <w:start w:val="3"/>
      <w:numFmt w:val="decimal"/>
      <w:suff w:val="space"/>
      <w:lvlText w:val="第%1章"/>
      <w:lvlJc w:val="left"/>
      <w:pPr>
        <w:ind w:left="0" w:firstLine="0"/>
      </w:pPr>
      <w:rPr>
        <w:rFonts w:hint="default"/>
      </w:rPr>
    </w:lvl>
    <w:lvl w:ilvl="1" w:tentative="0">
      <w:start w:val="1"/>
      <w:numFmt w:val="decimal"/>
      <w:suff w:val="space"/>
      <w:lvlText w:val="第%2节"/>
      <w:lvlJc w:val="left"/>
      <w:pPr>
        <w:ind w:left="1560" w:hanging="1560"/>
      </w:pPr>
      <w:rPr>
        <w:rFonts w:hint="eastAsia"/>
      </w:rPr>
    </w:lvl>
    <w:lvl w:ilvl="2" w:tentative="0">
      <w:start w:val="1"/>
      <w:numFmt w:val="decimal"/>
      <w:suff w:val="space"/>
      <w:lvlText w:val="%1.%2.%3"/>
      <w:lvlJc w:val="left"/>
      <w:pPr>
        <w:ind w:left="0" w:firstLine="454"/>
      </w:pPr>
      <w:rPr>
        <w:rFonts w:hint="default" w:ascii="Times New Roman" w:hAnsi="Times New Roman" w:cs="Times New Roman"/>
        <w:b/>
      </w:rPr>
    </w:lvl>
    <w:lvl w:ilvl="3" w:tentative="0">
      <w:start w:val="1"/>
      <w:numFmt w:val="decimal"/>
      <w:suff w:val="space"/>
      <w:lvlText w:val="%1.%2.%3.%4"/>
      <w:lvlJc w:val="left"/>
      <w:pPr>
        <w:ind w:left="397" w:firstLine="454"/>
      </w:pPr>
      <w:rPr>
        <w:rFonts w:hint="default" w:ascii="Times New Roman" w:hAnsi="Times New Roman" w:cs="Times New Roman"/>
        <w:strike w:val="0"/>
        <w:color w:val="auto"/>
      </w:rPr>
    </w:lvl>
    <w:lvl w:ilvl="4" w:tentative="0">
      <w:start w:val="1"/>
      <w:numFmt w:val="lowerLetter"/>
      <w:lvlText w:val="%5)"/>
      <w:lvlJc w:val="left"/>
      <w:pPr>
        <w:ind w:left="2820" w:hanging="1140"/>
      </w:pPr>
      <w:rPr>
        <w:rFonts w:hint="eastAsia"/>
      </w:rPr>
    </w:lvl>
    <w:lvl w:ilvl="5" w:tentative="0">
      <w:start w:val="1"/>
      <w:numFmt w:val="lowerRoman"/>
      <w:lvlText w:val="%6."/>
      <w:lvlJc w:val="right"/>
      <w:pPr>
        <w:ind w:left="3240" w:hanging="1140"/>
      </w:pPr>
      <w:rPr>
        <w:rFonts w:hint="eastAsia"/>
      </w:rPr>
    </w:lvl>
    <w:lvl w:ilvl="6" w:tentative="0">
      <w:start w:val="1"/>
      <w:numFmt w:val="decimal"/>
      <w:lvlText w:val="%7."/>
      <w:lvlJc w:val="left"/>
      <w:pPr>
        <w:ind w:left="3660" w:hanging="1140"/>
      </w:pPr>
      <w:rPr>
        <w:rFonts w:hint="eastAsia"/>
      </w:rPr>
    </w:lvl>
    <w:lvl w:ilvl="7" w:tentative="0">
      <w:start w:val="1"/>
      <w:numFmt w:val="lowerLetter"/>
      <w:lvlText w:val="%8)"/>
      <w:lvlJc w:val="left"/>
      <w:pPr>
        <w:ind w:left="4080" w:hanging="1140"/>
      </w:pPr>
      <w:rPr>
        <w:rFonts w:hint="eastAsia"/>
      </w:rPr>
    </w:lvl>
    <w:lvl w:ilvl="8" w:tentative="0">
      <w:start w:val="1"/>
      <w:numFmt w:val="lowerRoman"/>
      <w:lvlText w:val="%9."/>
      <w:lvlJc w:val="right"/>
      <w:pPr>
        <w:ind w:left="4500" w:hanging="1140"/>
      </w:pPr>
      <w:rPr>
        <w:rFonts w:hint="eastAsia"/>
      </w:rPr>
    </w:lvl>
  </w:abstractNum>
  <w:abstractNum w:abstractNumId="45">
    <w:nsid w:val="59E57A5F"/>
    <w:multiLevelType w:val="multilevel"/>
    <w:tmpl w:val="59E57A5F"/>
    <w:lvl w:ilvl="0" w:tentative="0">
      <w:start w:val="1"/>
      <w:numFmt w:val="decimalEnclosedCircle"/>
      <w:lvlText w:val="%1"/>
      <w:lvlJc w:val="left"/>
      <w:pPr>
        <w:ind w:left="1271" w:hanging="420"/>
      </w:pPr>
      <w:rPr>
        <w:rFonts w:hint="default" w:ascii="宋体" w:hAnsi="宋体" w:eastAsia="宋体"/>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46">
    <w:nsid w:val="5B2E479F"/>
    <w:multiLevelType w:val="multilevel"/>
    <w:tmpl w:val="5B2E479F"/>
    <w:lvl w:ilvl="0" w:tentative="0">
      <w:start w:val="1"/>
      <w:numFmt w:val="decimalEnclosedCircle"/>
      <w:lvlText w:val="%1"/>
      <w:lvlJc w:val="left"/>
      <w:pPr>
        <w:ind w:left="1271" w:hanging="420"/>
      </w:pPr>
      <w:rPr>
        <w:rFonts w:hint="default" w:ascii="宋体" w:hAnsi="宋体" w:eastAsia="宋体"/>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47">
    <w:nsid w:val="60043CAB"/>
    <w:multiLevelType w:val="multilevel"/>
    <w:tmpl w:val="60043CAB"/>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8">
    <w:nsid w:val="62B75D3D"/>
    <w:multiLevelType w:val="multilevel"/>
    <w:tmpl w:val="62B75D3D"/>
    <w:lvl w:ilvl="0" w:tentative="0">
      <w:start w:val="1"/>
      <w:numFmt w:val="decimalEnclosedCircle"/>
      <w:lvlText w:val="%1"/>
      <w:lvlJc w:val="left"/>
      <w:pPr>
        <w:ind w:left="1271" w:hanging="420"/>
      </w:pPr>
      <w:rPr>
        <w:rFonts w:hint="default" w:ascii="宋体" w:hAnsi="宋体" w:eastAsia="宋体"/>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49">
    <w:nsid w:val="66CE2891"/>
    <w:multiLevelType w:val="multilevel"/>
    <w:tmpl w:val="66CE2891"/>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0">
    <w:nsid w:val="69A23246"/>
    <w:multiLevelType w:val="multilevel"/>
    <w:tmpl w:val="69A23246"/>
    <w:lvl w:ilvl="0" w:tentative="0">
      <w:start w:val="1"/>
      <w:numFmt w:val="decimalEnclosedCircle"/>
      <w:lvlText w:val="%1"/>
      <w:lvlJc w:val="left"/>
      <w:pPr>
        <w:ind w:left="1271" w:hanging="420"/>
      </w:pPr>
      <w:rPr>
        <w:rFonts w:hint="default" w:ascii="宋体" w:hAnsi="宋体" w:eastAsia="宋体"/>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51">
    <w:nsid w:val="6A4CBCD1"/>
    <w:multiLevelType w:val="singleLevel"/>
    <w:tmpl w:val="6A4CBCD1"/>
    <w:lvl w:ilvl="0" w:tentative="0">
      <w:start w:val="1"/>
      <w:numFmt w:val="decimal"/>
      <w:suff w:val="nothing"/>
      <w:lvlText w:val="%1、"/>
      <w:lvlJc w:val="left"/>
    </w:lvl>
  </w:abstractNum>
  <w:abstractNum w:abstractNumId="52">
    <w:nsid w:val="6BBB34ED"/>
    <w:multiLevelType w:val="multilevel"/>
    <w:tmpl w:val="6BBB34ED"/>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3">
    <w:nsid w:val="6D4963D2"/>
    <w:multiLevelType w:val="multilevel"/>
    <w:tmpl w:val="6D4963D2"/>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4">
    <w:nsid w:val="6DC97DBD"/>
    <w:multiLevelType w:val="multilevel"/>
    <w:tmpl w:val="6DC97DBD"/>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5">
    <w:nsid w:val="7B2A54EE"/>
    <w:multiLevelType w:val="multilevel"/>
    <w:tmpl w:val="7B2A54EE"/>
    <w:lvl w:ilvl="0" w:tentative="0">
      <w:start w:val="1"/>
      <w:numFmt w:val="decimal"/>
      <w:pStyle w:val="68"/>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7BB23408"/>
    <w:multiLevelType w:val="multilevel"/>
    <w:tmpl w:val="7BB23408"/>
    <w:lvl w:ilvl="0" w:tentative="0">
      <w:start w:val="1"/>
      <w:numFmt w:val="decimal"/>
      <w:suff w:val="nothing"/>
      <w:lvlText w:val="（%1）"/>
      <w:lvlJc w:val="left"/>
      <w:pPr>
        <w:ind w:left="0" w:firstLine="340"/>
      </w:pPr>
      <w:rPr>
        <w:rFonts w:hint="default" w:ascii="Times New Roman" w:hAnsi="Times New Roman" w:cs="Times New Roman"/>
        <w:color w:val="auto"/>
        <w:lang w:val="en-U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7">
    <w:nsid w:val="7F5820F0"/>
    <w:multiLevelType w:val="multilevel"/>
    <w:tmpl w:val="7F5820F0"/>
    <w:lvl w:ilvl="0" w:tentative="0">
      <w:start w:val="1"/>
      <w:numFmt w:val="decimalEnclosedCircle"/>
      <w:pStyle w:val="78"/>
      <w:lvlText w:val="%1."/>
      <w:lvlJc w:val="left"/>
      <w:pPr>
        <w:ind w:left="113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7"/>
  </w:num>
  <w:num w:numId="2">
    <w:abstractNumId w:val="15"/>
  </w:num>
  <w:num w:numId="3">
    <w:abstractNumId w:val="55"/>
  </w:num>
  <w:num w:numId="4">
    <w:abstractNumId w:val="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6">
      <w:startOverride w:val="1"/>
    </w:lvlOverride>
    <w:lvlOverride w:ilvl="7">
      <w:startOverride w:val="1"/>
    </w:lvlOverride>
    <w:lvlOverride w:ilvl="8">
      <w:startOverride w:val="1"/>
    </w:lvlOverride>
  </w:num>
  <w:num w:numId="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num>
  <w:num w:numId="8">
    <w:abstractNumId w:val="41"/>
  </w:num>
  <w:num w:numId="9">
    <w:abstractNumId w:val="17"/>
  </w:num>
  <w:num w:numId="10">
    <w:abstractNumId w:val="25"/>
  </w:num>
  <w:num w:numId="11">
    <w:abstractNumId w:val="51"/>
  </w:num>
  <w:num w:numId="12">
    <w:abstractNumId w:val="1"/>
  </w:num>
  <w:num w:numId="13">
    <w:abstractNumId w:val="35"/>
  </w:num>
  <w:num w:numId="14">
    <w:abstractNumId w:val="7"/>
  </w:num>
  <w:num w:numId="15">
    <w:abstractNumId w:val="4"/>
  </w:num>
  <w:num w:numId="16">
    <w:abstractNumId w:val="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34"/>
  </w:num>
  <w:num w:numId="20">
    <w:abstractNumId w:val="16"/>
  </w:num>
  <w:num w:numId="21">
    <w:abstractNumId w:val="48"/>
  </w:num>
  <w:num w:numId="22">
    <w:abstractNumId w:val="23"/>
  </w:num>
  <w:num w:numId="23">
    <w:abstractNumId w:val="46"/>
  </w:num>
  <w:num w:numId="24">
    <w:abstractNumId w:val="28"/>
  </w:num>
  <w:num w:numId="25">
    <w:abstractNumId w:val="45"/>
  </w:num>
  <w:num w:numId="26">
    <w:abstractNumId w:val="39"/>
  </w:num>
  <w:num w:numId="27">
    <w:abstractNumId w:val="50"/>
  </w:num>
  <w:num w:numId="28">
    <w:abstractNumId w:val="20"/>
  </w:num>
  <w:num w:numId="29">
    <w:abstractNumId w:val="12"/>
  </w:num>
  <w:num w:numId="30">
    <w:abstractNumId w:val="29"/>
  </w:num>
  <w:num w:numId="31">
    <w:abstractNumId w:val="5"/>
  </w:num>
  <w:num w:numId="32">
    <w:abstractNumId w:val="10"/>
  </w:num>
  <w:num w:numId="33">
    <w:abstractNumId w:val="14"/>
  </w:num>
  <w:num w:numId="34">
    <w:abstractNumId w:val="52"/>
  </w:num>
  <w:num w:numId="35">
    <w:abstractNumId w:val="11"/>
  </w:num>
  <w:num w:numId="36">
    <w:abstractNumId w:val="0"/>
  </w:num>
  <w:num w:numId="37">
    <w:abstractNumId w:val="40"/>
  </w:num>
  <w:num w:numId="38">
    <w:abstractNumId w:val="44"/>
  </w:num>
  <w:num w:numId="39">
    <w:abstractNumId w:val="30"/>
  </w:num>
  <w:num w:numId="40">
    <w:abstractNumId w:val="9"/>
  </w:num>
  <w:num w:numId="41">
    <w:abstractNumId w:val="24"/>
  </w:num>
  <w:num w:numId="42">
    <w:abstractNumId w:val="42"/>
  </w:num>
  <w:num w:numId="43">
    <w:abstractNumId w:val="49"/>
  </w:num>
  <w:num w:numId="44">
    <w:abstractNumId w:val="54"/>
  </w:num>
  <w:num w:numId="45">
    <w:abstractNumId w:val="47"/>
  </w:num>
  <w:num w:numId="46">
    <w:abstractNumId w:val="32"/>
  </w:num>
  <w:num w:numId="47">
    <w:abstractNumId w:val="31"/>
  </w:num>
  <w:num w:numId="48">
    <w:abstractNumId w:val="26"/>
  </w:num>
  <w:num w:numId="49">
    <w:abstractNumId w:val="33"/>
  </w:num>
  <w:num w:numId="50">
    <w:abstractNumId w:val="36"/>
  </w:num>
  <w:num w:numId="51">
    <w:abstractNumId w:val="19"/>
  </w:num>
  <w:num w:numId="52">
    <w:abstractNumId w:val="18"/>
  </w:num>
  <w:num w:numId="53">
    <w:abstractNumId w:val="56"/>
  </w:num>
  <w:num w:numId="54">
    <w:abstractNumId w:val="6"/>
  </w:num>
  <w:num w:numId="55">
    <w:abstractNumId w:val="21"/>
  </w:num>
  <w:num w:numId="56">
    <w:abstractNumId w:val="27"/>
  </w:num>
  <w:num w:numId="57">
    <w:abstractNumId w:val="43"/>
  </w:num>
  <w:num w:numId="58">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numFmt w:val="decimalEnclosedCircleChinese"/>
    <w:numRestart w:val="eachPage"/>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ZiMTk3MjViMzdjZTEwMjVkOTE4NTU4MzE1M2ExNDQifQ=="/>
  </w:docVars>
  <w:rsids>
    <w:rsidRoot w:val="005E4E26"/>
    <w:rsid w:val="000007F4"/>
    <w:rsid w:val="000028CC"/>
    <w:rsid w:val="000030C0"/>
    <w:rsid w:val="00004585"/>
    <w:rsid w:val="00012A3F"/>
    <w:rsid w:val="00014ED6"/>
    <w:rsid w:val="00021430"/>
    <w:rsid w:val="000230C2"/>
    <w:rsid w:val="00024B2E"/>
    <w:rsid w:val="0002736E"/>
    <w:rsid w:val="00030CA4"/>
    <w:rsid w:val="0003797F"/>
    <w:rsid w:val="00040B55"/>
    <w:rsid w:val="00045C2A"/>
    <w:rsid w:val="00046C63"/>
    <w:rsid w:val="000524FA"/>
    <w:rsid w:val="00052794"/>
    <w:rsid w:val="00053ACC"/>
    <w:rsid w:val="00056259"/>
    <w:rsid w:val="0005751C"/>
    <w:rsid w:val="00057CB6"/>
    <w:rsid w:val="00060AC8"/>
    <w:rsid w:val="0006237D"/>
    <w:rsid w:val="00064BDA"/>
    <w:rsid w:val="00065819"/>
    <w:rsid w:val="00065CEE"/>
    <w:rsid w:val="00067679"/>
    <w:rsid w:val="0007451A"/>
    <w:rsid w:val="0007795D"/>
    <w:rsid w:val="000805D4"/>
    <w:rsid w:val="000827EA"/>
    <w:rsid w:val="000827F7"/>
    <w:rsid w:val="00083093"/>
    <w:rsid w:val="00084B3E"/>
    <w:rsid w:val="00091E93"/>
    <w:rsid w:val="00093BF0"/>
    <w:rsid w:val="00096855"/>
    <w:rsid w:val="000A14EB"/>
    <w:rsid w:val="000A5FF1"/>
    <w:rsid w:val="000A7C44"/>
    <w:rsid w:val="000B2486"/>
    <w:rsid w:val="000B29E4"/>
    <w:rsid w:val="000B3969"/>
    <w:rsid w:val="000B5245"/>
    <w:rsid w:val="000B5F35"/>
    <w:rsid w:val="000B6864"/>
    <w:rsid w:val="000C0BA1"/>
    <w:rsid w:val="000C375B"/>
    <w:rsid w:val="000C3AC6"/>
    <w:rsid w:val="000C40D2"/>
    <w:rsid w:val="000C4BC6"/>
    <w:rsid w:val="000C513C"/>
    <w:rsid w:val="000C5F06"/>
    <w:rsid w:val="000D0FE9"/>
    <w:rsid w:val="000D2B02"/>
    <w:rsid w:val="000D6C29"/>
    <w:rsid w:val="000E0DE8"/>
    <w:rsid w:val="000E12AD"/>
    <w:rsid w:val="000E12C8"/>
    <w:rsid w:val="000E369F"/>
    <w:rsid w:val="000E68C1"/>
    <w:rsid w:val="000F131C"/>
    <w:rsid w:val="000F17EE"/>
    <w:rsid w:val="000F1864"/>
    <w:rsid w:val="000F18F9"/>
    <w:rsid w:val="000F2A72"/>
    <w:rsid w:val="000F2F93"/>
    <w:rsid w:val="000F76DE"/>
    <w:rsid w:val="001008DC"/>
    <w:rsid w:val="00101D2D"/>
    <w:rsid w:val="00103E8E"/>
    <w:rsid w:val="00104FF0"/>
    <w:rsid w:val="00105EEC"/>
    <w:rsid w:val="001064FC"/>
    <w:rsid w:val="0010772D"/>
    <w:rsid w:val="00110D46"/>
    <w:rsid w:val="001113D2"/>
    <w:rsid w:val="00111D4C"/>
    <w:rsid w:val="001123F5"/>
    <w:rsid w:val="00115791"/>
    <w:rsid w:val="00115D9B"/>
    <w:rsid w:val="00116370"/>
    <w:rsid w:val="00117874"/>
    <w:rsid w:val="001179CF"/>
    <w:rsid w:val="00122B16"/>
    <w:rsid w:val="00123C10"/>
    <w:rsid w:val="00126D84"/>
    <w:rsid w:val="001324FB"/>
    <w:rsid w:val="0013287B"/>
    <w:rsid w:val="00132FE5"/>
    <w:rsid w:val="00133D7C"/>
    <w:rsid w:val="00135B1A"/>
    <w:rsid w:val="00144014"/>
    <w:rsid w:val="001455F6"/>
    <w:rsid w:val="001468B5"/>
    <w:rsid w:val="00150481"/>
    <w:rsid w:val="00152390"/>
    <w:rsid w:val="00153FE5"/>
    <w:rsid w:val="00154B69"/>
    <w:rsid w:val="00155971"/>
    <w:rsid w:val="00156EDF"/>
    <w:rsid w:val="00163487"/>
    <w:rsid w:val="00164725"/>
    <w:rsid w:val="001653C3"/>
    <w:rsid w:val="001655BB"/>
    <w:rsid w:val="001719F9"/>
    <w:rsid w:val="0017443D"/>
    <w:rsid w:val="00174FCA"/>
    <w:rsid w:val="00175B17"/>
    <w:rsid w:val="001836D6"/>
    <w:rsid w:val="00186686"/>
    <w:rsid w:val="00186C5C"/>
    <w:rsid w:val="0018712C"/>
    <w:rsid w:val="001871E9"/>
    <w:rsid w:val="00187A96"/>
    <w:rsid w:val="00190083"/>
    <w:rsid w:val="0019038B"/>
    <w:rsid w:val="00191001"/>
    <w:rsid w:val="00191A56"/>
    <w:rsid w:val="00192472"/>
    <w:rsid w:val="0019380C"/>
    <w:rsid w:val="0019389E"/>
    <w:rsid w:val="001947AB"/>
    <w:rsid w:val="0019714F"/>
    <w:rsid w:val="00197773"/>
    <w:rsid w:val="001A0767"/>
    <w:rsid w:val="001A2A8B"/>
    <w:rsid w:val="001A3510"/>
    <w:rsid w:val="001A3BA7"/>
    <w:rsid w:val="001A77C2"/>
    <w:rsid w:val="001B0041"/>
    <w:rsid w:val="001B3DDA"/>
    <w:rsid w:val="001B4668"/>
    <w:rsid w:val="001B59C3"/>
    <w:rsid w:val="001C3827"/>
    <w:rsid w:val="001D2558"/>
    <w:rsid w:val="001D387F"/>
    <w:rsid w:val="001D3F66"/>
    <w:rsid w:val="001D543E"/>
    <w:rsid w:val="001D5A21"/>
    <w:rsid w:val="001D7AE9"/>
    <w:rsid w:val="001E01F5"/>
    <w:rsid w:val="001E2A7F"/>
    <w:rsid w:val="001E30F9"/>
    <w:rsid w:val="001E48D5"/>
    <w:rsid w:val="001F0228"/>
    <w:rsid w:val="001F20B8"/>
    <w:rsid w:val="001F6182"/>
    <w:rsid w:val="00200D62"/>
    <w:rsid w:val="002021FC"/>
    <w:rsid w:val="002041ED"/>
    <w:rsid w:val="00204F29"/>
    <w:rsid w:val="00205656"/>
    <w:rsid w:val="00211AAD"/>
    <w:rsid w:val="00213FED"/>
    <w:rsid w:val="002142C6"/>
    <w:rsid w:val="002150CF"/>
    <w:rsid w:val="0021663C"/>
    <w:rsid w:val="00221B54"/>
    <w:rsid w:val="00221EB7"/>
    <w:rsid w:val="0022225E"/>
    <w:rsid w:val="00222CFB"/>
    <w:rsid w:val="00223F26"/>
    <w:rsid w:val="00225224"/>
    <w:rsid w:val="00230CD1"/>
    <w:rsid w:val="00231F30"/>
    <w:rsid w:val="002324C1"/>
    <w:rsid w:val="00235A22"/>
    <w:rsid w:val="00241C9A"/>
    <w:rsid w:val="00242F1C"/>
    <w:rsid w:val="00247721"/>
    <w:rsid w:val="00247A4D"/>
    <w:rsid w:val="00252089"/>
    <w:rsid w:val="002524FF"/>
    <w:rsid w:val="00255D2E"/>
    <w:rsid w:val="00256F58"/>
    <w:rsid w:val="00257740"/>
    <w:rsid w:val="00260A37"/>
    <w:rsid w:val="002614ED"/>
    <w:rsid w:val="00261A9E"/>
    <w:rsid w:val="0026250C"/>
    <w:rsid w:val="0026384A"/>
    <w:rsid w:val="00266206"/>
    <w:rsid w:val="00274144"/>
    <w:rsid w:val="00275A83"/>
    <w:rsid w:val="00280525"/>
    <w:rsid w:val="00281A73"/>
    <w:rsid w:val="00281FB1"/>
    <w:rsid w:val="00282897"/>
    <w:rsid w:val="00284F54"/>
    <w:rsid w:val="00286C5F"/>
    <w:rsid w:val="002872CB"/>
    <w:rsid w:val="00290AB4"/>
    <w:rsid w:val="00292D13"/>
    <w:rsid w:val="0029428D"/>
    <w:rsid w:val="002948E3"/>
    <w:rsid w:val="00295795"/>
    <w:rsid w:val="00295E3E"/>
    <w:rsid w:val="002A0D19"/>
    <w:rsid w:val="002A3799"/>
    <w:rsid w:val="002A38CC"/>
    <w:rsid w:val="002A3A58"/>
    <w:rsid w:val="002A41F0"/>
    <w:rsid w:val="002A6058"/>
    <w:rsid w:val="002A7BD9"/>
    <w:rsid w:val="002A7C1A"/>
    <w:rsid w:val="002B01F2"/>
    <w:rsid w:val="002B424A"/>
    <w:rsid w:val="002C1899"/>
    <w:rsid w:val="002C221A"/>
    <w:rsid w:val="002C6611"/>
    <w:rsid w:val="002D0C8F"/>
    <w:rsid w:val="002D3A32"/>
    <w:rsid w:val="002D3F1E"/>
    <w:rsid w:val="002D4283"/>
    <w:rsid w:val="002D5F35"/>
    <w:rsid w:val="002D7980"/>
    <w:rsid w:val="002E00BF"/>
    <w:rsid w:val="002E2FC0"/>
    <w:rsid w:val="002E5644"/>
    <w:rsid w:val="002E69AD"/>
    <w:rsid w:val="002E7B86"/>
    <w:rsid w:val="002E7C1F"/>
    <w:rsid w:val="002F0FA9"/>
    <w:rsid w:val="002F32E0"/>
    <w:rsid w:val="002F7899"/>
    <w:rsid w:val="003005D4"/>
    <w:rsid w:val="00305834"/>
    <w:rsid w:val="00305F7A"/>
    <w:rsid w:val="003104CF"/>
    <w:rsid w:val="00310EF7"/>
    <w:rsid w:val="00311433"/>
    <w:rsid w:val="00311F55"/>
    <w:rsid w:val="00312109"/>
    <w:rsid w:val="00312651"/>
    <w:rsid w:val="00312C96"/>
    <w:rsid w:val="003164D3"/>
    <w:rsid w:val="003170FE"/>
    <w:rsid w:val="00320697"/>
    <w:rsid w:val="00320A49"/>
    <w:rsid w:val="00320B1B"/>
    <w:rsid w:val="00322973"/>
    <w:rsid w:val="003248C8"/>
    <w:rsid w:val="0032537D"/>
    <w:rsid w:val="003256C6"/>
    <w:rsid w:val="00330A50"/>
    <w:rsid w:val="00331178"/>
    <w:rsid w:val="00335F38"/>
    <w:rsid w:val="003368BB"/>
    <w:rsid w:val="00342EE6"/>
    <w:rsid w:val="00343698"/>
    <w:rsid w:val="00351F97"/>
    <w:rsid w:val="00352B5A"/>
    <w:rsid w:val="00354E32"/>
    <w:rsid w:val="00355997"/>
    <w:rsid w:val="00355C0E"/>
    <w:rsid w:val="00357A0B"/>
    <w:rsid w:val="003611CB"/>
    <w:rsid w:val="003625CA"/>
    <w:rsid w:val="00366DAE"/>
    <w:rsid w:val="00370E8F"/>
    <w:rsid w:val="00371479"/>
    <w:rsid w:val="00383754"/>
    <w:rsid w:val="00385804"/>
    <w:rsid w:val="00395A6E"/>
    <w:rsid w:val="003961C2"/>
    <w:rsid w:val="00396C90"/>
    <w:rsid w:val="003974F9"/>
    <w:rsid w:val="003A014A"/>
    <w:rsid w:val="003A245B"/>
    <w:rsid w:val="003A46EA"/>
    <w:rsid w:val="003A646F"/>
    <w:rsid w:val="003A68F1"/>
    <w:rsid w:val="003A7375"/>
    <w:rsid w:val="003B142D"/>
    <w:rsid w:val="003B38AB"/>
    <w:rsid w:val="003C0EA1"/>
    <w:rsid w:val="003C1144"/>
    <w:rsid w:val="003C130F"/>
    <w:rsid w:val="003C1FD0"/>
    <w:rsid w:val="003C442C"/>
    <w:rsid w:val="003C50F7"/>
    <w:rsid w:val="003C6DC7"/>
    <w:rsid w:val="003D07C1"/>
    <w:rsid w:val="003D07DE"/>
    <w:rsid w:val="003D1978"/>
    <w:rsid w:val="003D2BD9"/>
    <w:rsid w:val="003D3E65"/>
    <w:rsid w:val="003D6A53"/>
    <w:rsid w:val="003E00C8"/>
    <w:rsid w:val="003E27F6"/>
    <w:rsid w:val="003E295D"/>
    <w:rsid w:val="003E2D41"/>
    <w:rsid w:val="003E41A8"/>
    <w:rsid w:val="003E6C84"/>
    <w:rsid w:val="003F137F"/>
    <w:rsid w:val="003F5AB6"/>
    <w:rsid w:val="003F6AD2"/>
    <w:rsid w:val="003F7F53"/>
    <w:rsid w:val="0040345C"/>
    <w:rsid w:val="00403E2D"/>
    <w:rsid w:val="004043FC"/>
    <w:rsid w:val="00404C53"/>
    <w:rsid w:val="00410B4E"/>
    <w:rsid w:val="00412228"/>
    <w:rsid w:val="0041311E"/>
    <w:rsid w:val="00413739"/>
    <w:rsid w:val="004154F7"/>
    <w:rsid w:val="00415CA1"/>
    <w:rsid w:val="004166A4"/>
    <w:rsid w:val="00416733"/>
    <w:rsid w:val="00416758"/>
    <w:rsid w:val="00420189"/>
    <w:rsid w:val="00424D80"/>
    <w:rsid w:val="00424DFC"/>
    <w:rsid w:val="00426BEA"/>
    <w:rsid w:val="004279F0"/>
    <w:rsid w:val="00430FB3"/>
    <w:rsid w:val="00431111"/>
    <w:rsid w:val="00431E2C"/>
    <w:rsid w:val="00432E84"/>
    <w:rsid w:val="00434AE6"/>
    <w:rsid w:val="00434D67"/>
    <w:rsid w:val="00436FC1"/>
    <w:rsid w:val="0043709A"/>
    <w:rsid w:val="004410ED"/>
    <w:rsid w:val="00442756"/>
    <w:rsid w:val="004431DB"/>
    <w:rsid w:val="00443B33"/>
    <w:rsid w:val="00443C47"/>
    <w:rsid w:val="0044511B"/>
    <w:rsid w:val="004460E8"/>
    <w:rsid w:val="0044645A"/>
    <w:rsid w:val="0045103C"/>
    <w:rsid w:val="004512B0"/>
    <w:rsid w:val="0045267F"/>
    <w:rsid w:val="00452A94"/>
    <w:rsid w:val="004559B2"/>
    <w:rsid w:val="0045705E"/>
    <w:rsid w:val="0046507D"/>
    <w:rsid w:val="0046672D"/>
    <w:rsid w:val="00472E10"/>
    <w:rsid w:val="00474A8E"/>
    <w:rsid w:val="00476F83"/>
    <w:rsid w:val="00477850"/>
    <w:rsid w:val="00477BDD"/>
    <w:rsid w:val="00477CF4"/>
    <w:rsid w:val="00477FD8"/>
    <w:rsid w:val="00482677"/>
    <w:rsid w:val="00483F5F"/>
    <w:rsid w:val="0048595D"/>
    <w:rsid w:val="00485D09"/>
    <w:rsid w:val="00486830"/>
    <w:rsid w:val="00486915"/>
    <w:rsid w:val="00486CC1"/>
    <w:rsid w:val="00491798"/>
    <w:rsid w:val="004958B2"/>
    <w:rsid w:val="004A087A"/>
    <w:rsid w:val="004A0D83"/>
    <w:rsid w:val="004A0DAB"/>
    <w:rsid w:val="004A29BE"/>
    <w:rsid w:val="004A2D11"/>
    <w:rsid w:val="004A4135"/>
    <w:rsid w:val="004A4F21"/>
    <w:rsid w:val="004A780F"/>
    <w:rsid w:val="004A7EF3"/>
    <w:rsid w:val="004B20D1"/>
    <w:rsid w:val="004B2B78"/>
    <w:rsid w:val="004B2DE0"/>
    <w:rsid w:val="004B4D69"/>
    <w:rsid w:val="004B6BA7"/>
    <w:rsid w:val="004C25F9"/>
    <w:rsid w:val="004C3C3C"/>
    <w:rsid w:val="004D1667"/>
    <w:rsid w:val="004D3151"/>
    <w:rsid w:val="004D4D16"/>
    <w:rsid w:val="004D526F"/>
    <w:rsid w:val="004E0B56"/>
    <w:rsid w:val="004E3037"/>
    <w:rsid w:val="004E3A7B"/>
    <w:rsid w:val="00500BF4"/>
    <w:rsid w:val="00501D78"/>
    <w:rsid w:val="0050316B"/>
    <w:rsid w:val="00503351"/>
    <w:rsid w:val="005045EB"/>
    <w:rsid w:val="00506050"/>
    <w:rsid w:val="005065CB"/>
    <w:rsid w:val="0050667B"/>
    <w:rsid w:val="005106E5"/>
    <w:rsid w:val="00515A78"/>
    <w:rsid w:val="00515AD8"/>
    <w:rsid w:val="00517188"/>
    <w:rsid w:val="005173B3"/>
    <w:rsid w:val="00517D91"/>
    <w:rsid w:val="0052368D"/>
    <w:rsid w:val="00527DEF"/>
    <w:rsid w:val="00534FAF"/>
    <w:rsid w:val="00536F73"/>
    <w:rsid w:val="00550216"/>
    <w:rsid w:val="00550896"/>
    <w:rsid w:val="00551433"/>
    <w:rsid w:val="00553DF3"/>
    <w:rsid w:val="0056193B"/>
    <w:rsid w:val="00561A4F"/>
    <w:rsid w:val="00561C40"/>
    <w:rsid w:val="00572449"/>
    <w:rsid w:val="005730AF"/>
    <w:rsid w:val="00573501"/>
    <w:rsid w:val="00573C3A"/>
    <w:rsid w:val="00575DD0"/>
    <w:rsid w:val="0057671B"/>
    <w:rsid w:val="00577965"/>
    <w:rsid w:val="00577DC4"/>
    <w:rsid w:val="005816B2"/>
    <w:rsid w:val="005816BB"/>
    <w:rsid w:val="00582485"/>
    <w:rsid w:val="00586087"/>
    <w:rsid w:val="005863EA"/>
    <w:rsid w:val="00590836"/>
    <w:rsid w:val="0059126E"/>
    <w:rsid w:val="005912C2"/>
    <w:rsid w:val="005927D9"/>
    <w:rsid w:val="00593732"/>
    <w:rsid w:val="00595AFC"/>
    <w:rsid w:val="00595ECB"/>
    <w:rsid w:val="00596C82"/>
    <w:rsid w:val="005A11A2"/>
    <w:rsid w:val="005A3BC7"/>
    <w:rsid w:val="005A6D4B"/>
    <w:rsid w:val="005B06DC"/>
    <w:rsid w:val="005B4C88"/>
    <w:rsid w:val="005B5F7F"/>
    <w:rsid w:val="005C0C3A"/>
    <w:rsid w:val="005C1789"/>
    <w:rsid w:val="005C3275"/>
    <w:rsid w:val="005C4450"/>
    <w:rsid w:val="005C5B80"/>
    <w:rsid w:val="005D2CA8"/>
    <w:rsid w:val="005D36D0"/>
    <w:rsid w:val="005D3DAA"/>
    <w:rsid w:val="005D52BE"/>
    <w:rsid w:val="005D67E8"/>
    <w:rsid w:val="005D7EFA"/>
    <w:rsid w:val="005E049B"/>
    <w:rsid w:val="005E0D3E"/>
    <w:rsid w:val="005E12C6"/>
    <w:rsid w:val="005E13B0"/>
    <w:rsid w:val="005E1E2F"/>
    <w:rsid w:val="005E4A01"/>
    <w:rsid w:val="005E4E26"/>
    <w:rsid w:val="005E5DBD"/>
    <w:rsid w:val="005F47CC"/>
    <w:rsid w:val="00600AB6"/>
    <w:rsid w:val="00603249"/>
    <w:rsid w:val="00603391"/>
    <w:rsid w:val="00605BFE"/>
    <w:rsid w:val="006115F5"/>
    <w:rsid w:val="00614DCD"/>
    <w:rsid w:val="00616205"/>
    <w:rsid w:val="00620195"/>
    <w:rsid w:val="00622C27"/>
    <w:rsid w:val="006235D6"/>
    <w:rsid w:val="006241BC"/>
    <w:rsid w:val="00625860"/>
    <w:rsid w:val="00625B1D"/>
    <w:rsid w:val="006266EB"/>
    <w:rsid w:val="00630202"/>
    <w:rsid w:val="00631F05"/>
    <w:rsid w:val="00632B4D"/>
    <w:rsid w:val="00632E72"/>
    <w:rsid w:val="00633B10"/>
    <w:rsid w:val="00636BA1"/>
    <w:rsid w:val="0064182B"/>
    <w:rsid w:val="00642886"/>
    <w:rsid w:val="00642F2E"/>
    <w:rsid w:val="00645447"/>
    <w:rsid w:val="006458AC"/>
    <w:rsid w:val="006503C9"/>
    <w:rsid w:val="00652384"/>
    <w:rsid w:val="00654B7D"/>
    <w:rsid w:val="00655488"/>
    <w:rsid w:val="0066065E"/>
    <w:rsid w:val="006608D4"/>
    <w:rsid w:val="0066484D"/>
    <w:rsid w:val="006659CC"/>
    <w:rsid w:val="00665E67"/>
    <w:rsid w:val="0066735B"/>
    <w:rsid w:val="0067005D"/>
    <w:rsid w:val="006709B7"/>
    <w:rsid w:val="00670A40"/>
    <w:rsid w:val="00670FCD"/>
    <w:rsid w:val="006721B7"/>
    <w:rsid w:val="006726AD"/>
    <w:rsid w:val="006750BB"/>
    <w:rsid w:val="0067673C"/>
    <w:rsid w:val="00676A48"/>
    <w:rsid w:val="00680E1E"/>
    <w:rsid w:val="00680EC6"/>
    <w:rsid w:val="00682B62"/>
    <w:rsid w:val="00684819"/>
    <w:rsid w:val="00684EF3"/>
    <w:rsid w:val="00686E31"/>
    <w:rsid w:val="00692047"/>
    <w:rsid w:val="006977BD"/>
    <w:rsid w:val="006A1196"/>
    <w:rsid w:val="006A191C"/>
    <w:rsid w:val="006A28BE"/>
    <w:rsid w:val="006A35A6"/>
    <w:rsid w:val="006A4B96"/>
    <w:rsid w:val="006B1CB8"/>
    <w:rsid w:val="006B2A91"/>
    <w:rsid w:val="006B3AB2"/>
    <w:rsid w:val="006B59FA"/>
    <w:rsid w:val="006B7F85"/>
    <w:rsid w:val="006C11B0"/>
    <w:rsid w:val="006C15E3"/>
    <w:rsid w:val="006C29FC"/>
    <w:rsid w:val="006C2CDE"/>
    <w:rsid w:val="006C639D"/>
    <w:rsid w:val="006C72ED"/>
    <w:rsid w:val="006D085C"/>
    <w:rsid w:val="006D3A7C"/>
    <w:rsid w:val="006D4033"/>
    <w:rsid w:val="006D6CAA"/>
    <w:rsid w:val="006E0A87"/>
    <w:rsid w:val="006E19D2"/>
    <w:rsid w:val="006E209C"/>
    <w:rsid w:val="006E59F6"/>
    <w:rsid w:val="006E5E6E"/>
    <w:rsid w:val="006E6B4E"/>
    <w:rsid w:val="006E7A25"/>
    <w:rsid w:val="006F2DC1"/>
    <w:rsid w:val="006F4A84"/>
    <w:rsid w:val="006F69FE"/>
    <w:rsid w:val="00704B7E"/>
    <w:rsid w:val="007052AA"/>
    <w:rsid w:val="007069F9"/>
    <w:rsid w:val="007114F1"/>
    <w:rsid w:val="00712C82"/>
    <w:rsid w:val="007144DE"/>
    <w:rsid w:val="00714C2F"/>
    <w:rsid w:val="00715449"/>
    <w:rsid w:val="00715F67"/>
    <w:rsid w:val="00723A63"/>
    <w:rsid w:val="00724B5F"/>
    <w:rsid w:val="00726D39"/>
    <w:rsid w:val="007305B0"/>
    <w:rsid w:val="00730BAE"/>
    <w:rsid w:val="00734313"/>
    <w:rsid w:val="00736892"/>
    <w:rsid w:val="00737BEA"/>
    <w:rsid w:val="00740942"/>
    <w:rsid w:val="00744F34"/>
    <w:rsid w:val="00744F9D"/>
    <w:rsid w:val="007518B5"/>
    <w:rsid w:val="0075226E"/>
    <w:rsid w:val="00752C7D"/>
    <w:rsid w:val="007609C6"/>
    <w:rsid w:val="00760AF0"/>
    <w:rsid w:val="007628A1"/>
    <w:rsid w:val="0076468F"/>
    <w:rsid w:val="007666EC"/>
    <w:rsid w:val="00772905"/>
    <w:rsid w:val="007735F8"/>
    <w:rsid w:val="0077364D"/>
    <w:rsid w:val="007742F0"/>
    <w:rsid w:val="00777245"/>
    <w:rsid w:val="00777316"/>
    <w:rsid w:val="007776C1"/>
    <w:rsid w:val="00782443"/>
    <w:rsid w:val="007833B6"/>
    <w:rsid w:val="00783C31"/>
    <w:rsid w:val="00783DA1"/>
    <w:rsid w:val="0078496F"/>
    <w:rsid w:val="00784BC7"/>
    <w:rsid w:val="00786489"/>
    <w:rsid w:val="00786CFA"/>
    <w:rsid w:val="00790E5A"/>
    <w:rsid w:val="007945EE"/>
    <w:rsid w:val="00795539"/>
    <w:rsid w:val="007957E9"/>
    <w:rsid w:val="00795D0E"/>
    <w:rsid w:val="00796D6C"/>
    <w:rsid w:val="00796D96"/>
    <w:rsid w:val="007A0F70"/>
    <w:rsid w:val="007A1CF9"/>
    <w:rsid w:val="007A3353"/>
    <w:rsid w:val="007A4368"/>
    <w:rsid w:val="007A65C4"/>
    <w:rsid w:val="007A6A12"/>
    <w:rsid w:val="007A77F2"/>
    <w:rsid w:val="007A7B52"/>
    <w:rsid w:val="007B1108"/>
    <w:rsid w:val="007B45F4"/>
    <w:rsid w:val="007B54B1"/>
    <w:rsid w:val="007C1383"/>
    <w:rsid w:val="007C775B"/>
    <w:rsid w:val="007C7F4D"/>
    <w:rsid w:val="007D06C8"/>
    <w:rsid w:val="007D0F8C"/>
    <w:rsid w:val="007D512D"/>
    <w:rsid w:val="007D78DA"/>
    <w:rsid w:val="007E3C70"/>
    <w:rsid w:val="007E5A3A"/>
    <w:rsid w:val="007E6E97"/>
    <w:rsid w:val="007E7EC8"/>
    <w:rsid w:val="007F0592"/>
    <w:rsid w:val="007F1E45"/>
    <w:rsid w:val="007F4AB4"/>
    <w:rsid w:val="007F56BB"/>
    <w:rsid w:val="007F639A"/>
    <w:rsid w:val="00801459"/>
    <w:rsid w:val="0080421D"/>
    <w:rsid w:val="00811615"/>
    <w:rsid w:val="00811AA7"/>
    <w:rsid w:val="00813555"/>
    <w:rsid w:val="00813DC1"/>
    <w:rsid w:val="00815A60"/>
    <w:rsid w:val="00820153"/>
    <w:rsid w:val="008223BA"/>
    <w:rsid w:val="00822AE4"/>
    <w:rsid w:val="00823B14"/>
    <w:rsid w:val="0082521C"/>
    <w:rsid w:val="008321C3"/>
    <w:rsid w:val="008339D0"/>
    <w:rsid w:val="00836CA1"/>
    <w:rsid w:val="00840336"/>
    <w:rsid w:val="00845B5A"/>
    <w:rsid w:val="00850487"/>
    <w:rsid w:val="00850890"/>
    <w:rsid w:val="00854365"/>
    <w:rsid w:val="00855B24"/>
    <w:rsid w:val="00860294"/>
    <w:rsid w:val="00861BD2"/>
    <w:rsid w:val="00864F6B"/>
    <w:rsid w:val="00865BA6"/>
    <w:rsid w:val="00866075"/>
    <w:rsid w:val="008666BC"/>
    <w:rsid w:val="00867F04"/>
    <w:rsid w:val="00870ECB"/>
    <w:rsid w:val="00871352"/>
    <w:rsid w:val="0087450E"/>
    <w:rsid w:val="00877E13"/>
    <w:rsid w:val="008805E1"/>
    <w:rsid w:val="00881C4F"/>
    <w:rsid w:val="0088373E"/>
    <w:rsid w:val="00883CC5"/>
    <w:rsid w:val="00885964"/>
    <w:rsid w:val="0088642C"/>
    <w:rsid w:val="00887CF5"/>
    <w:rsid w:val="00890608"/>
    <w:rsid w:val="008922D2"/>
    <w:rsid w:val="00893476"/>
    <w:rsid w:val="0089513B"/>
    <w:rsid w:val="0089538B"/>
    <w:rsid w:val="008956FF"/>
    <w:rsid w:val="0089641F"/>
    <w:rsid w:val="008A1265"/>
    <w:rsid w:val="008A2B7B"/>
    <w:rsid w:val="008A2C06"/>
    <w:rsid w:val="008A4C84"/>
    <w:rsid w:val="008A7C07"/>
    <w:rsid w:val="008B56A8"/>
    <w:rsid w:val="008B5FF4"/>
    <w:rsid w:val="008B7302"/>
    <w:rsid w:val="008C06A4"/>
    <w:rsid w:val="008C1F38"/>
    <w:rsid w:val="008C2CD0"/>
    <w:rsid w:val="008C6D4E"/>
    <w:rsid w:val="008C7FCF"/>
    <w:rsid w:val="008D2444"/>
    <w:rsid w:val="008D32FC"/>
    <w:rsid w:val="008D5EC6"/>
    <w:rsid w:val="008D60B2"/>
    <w:rsid w:val="008D6B80"/>
    <w:rsid w:val="008E0538"/>
    <w:rsid w:val="008E1788"/>
    <w:rsid w:val="008E2395"/>
    <w:rsid w:val="008E657D"/>
    <w:rsid w:val="008F25C9"/>
    <w:rsid w:val="008F2F98"/>
    <w:rsid w:val="008F41A4"/>
    <w:rsid w:val="008F4F1F"/>
    <w:rsid w:val="008F7F6D"/>
    <w:rsid w:val="0090012C"/>
    <w:rsid w:val="0090243D"/>
    <w:rsid w:val="0090328D"/>
    <w:rsid w:val="009066D0"/>
    <w:rsid w:val="009102F3"/>
    <w:rsid w:val="00911C8E"/>
    <w:rsid w:val="00913965"/>
    <w:rsid w:val="00914842"/>
    <w:rsid w:val="00914F39"/>
    <w:rsid w:val="00916D6D"/>
    <w:rsid w:val="0092287B"/>
    <w:rsid w:val="00927665"/>
    <w:rsid w:val="009308CC"/>
    <w:rsid w:val="00932BD3"/>
    <w:rsid w:val="00932E4A"/>
    <w:rsid w:val="00936A2F"/>
    <w:rsid w:val="00937076"/>
    <w:rsid w:val="009376FF"/>
    <w:rsid w:val="00940841"/>
    <w:rsid w:val="00941C4A"/>
    <w:rsid w:val="00944F8F"/>
    <w:rsid w:val="00947FAA"/>
    <w:rsid w:val="00950107"/>
    <w:rsid w:val="0095118E"/>
    <w:rsid w:val="00951377"/>
    <w:rsid w:val="00951850"/>
    <w:rsid w:val="00952175"/>
    <w:rsid w:val="00954C8F"/>
    <w:rsid w:val="00956170"/>
    <w:rsid w:val="00956365"/>
    <w:rsid w:val="00956ADE"/>
    <w:rsid w:val="0095756B"/>
    <w:rsid w:val="009575C6"/>
    <w:rsid w:val="00957C39"/>
    <w:rsid w:val="00960D94"/>
    <w:rsid w:val="00963CFB"/>
    <w:rsid w:val="0096561F"/>
    <w:rsid w:val="009727DC"/>
    <w:rsid w:val="00975DBA"/>
    <w:rsid w:val="0097626F"/>
    <w:rsid w:val="0097759F"/>
    <w:rsid w:val="0098250F"/>
    <w:rsid w:val="00982840"/>
    <w:rsid w:val="009841D8"/>
    <w:rsid w:val="009847D4"/>
    <w:rsid w:val="00986644"/>
    <w:rsid w:val="0099206A"/>
    <w:rsid w:val="00995A83"/>
    <w:rsid w:val="00997D45"/>
    <w:rsid w:val="009A10F9"/>
    <w:rsid w:val="009A22F7"/>
    <w:rsid w:val="009A2A7C"/>
    <w:rsid w:val="009A31D2"/>
    <w:rsid w:val="009A3963"/>
    <w:rsid w:val="009A39EC"/>
    <w:rsid w:val="009A412D"/>
    <w:rsid w:val="009A4154"/>
    <w:rsid w:val="009A439C"/>
    <w:rsid w:val="009A6169"/>
    <w:rsid w:val="009A6D9E"/>
    <w:rsid w:val="009A7131"/>
    <w:rsid w:val="009B28D3"/>
    <w:rsid w:val="009B520D"/>
    <w:rsid w:val="009B5715"/>
    <w:rsid w:val="009B6F4F"/>
    <w:rsid w:val="009B73FC"/>
    <w:rsid w:val="009B7D55"/>
    <w:rsid w:val="009C06DA"/>
    <w:rsid w:val="009C1721"/>
    <w:rsid w:val="009C3A93"/>
    <w:rsid w:val="009C3D94"/>
    <w:rsid w:val="009D2B92"/>
    <w:rsid w:val="009D364C"/>
    <w:rsid w:val="009D47F5"/>
    <w:rsid w:val="009D4898"/>
    <w:rsid w:val="009D5316"/>
    <w:rsid w:val="009E34FC"/>
    <w:rsid w:val="009E5AC0"/>
    <w:rsid w:val="009F1E25"/>
    <w:rsid w:val="009F2271"/>
    <w:rsid w:val="009F271E"/>
    <w:rsid w:val="009F280D"/>
    <w:rsid w:val="009F32E1"/>
    <w:rsid w:val="009F34B6"/>
    <w:rsid w:val="00A00FD2"/>
    <w:rsid w:val="00A019D2"/>
    <w:rsid w:val="00A052F7"/>
    <w:rsid w:val="00A06A0C"/>
    <w:rsid w:val="00A10528"/>
    <w:rsid w:val="00A158E7"/>
    <w:rsid w:val="00A16322"/>
    <w:rsid w:val="00A17EB6"/>
    <w:rsid w:val="00A200CD"/>
    <w:rsid w:val="00A2040D"/>
    <w:rsid w:val="00A20703"/>
    <w:rsid w:val="00A237CE"/>
    <w:rsid w:val="00A23B8C"/>
    <w:rsid w:val="00A25023"/>
    <w:rsid w:val="00A323F1"/>
    <w:rsid w:val="00A3286C"/>
    <w:rsid w:val="00A34865"/>
    <w:rsid w:val="00A34BAF"/>
    <w:rsid w:val="00A35F56"/>
    <w:rsid w:val="00A362A8"/>
    <w:rsid w:val="00A366D3"/>
    <w:rsid w:val="00A4353D"/>
    <w:rsid w:val="00A448F4"/>
    <w:rsid w:val="00A451CF"/>
    <w:rsid w:val="00A47567"/>
    <w:rsid w:val="00A51022"/>
    <w:rsid w:val="00A52C6C"/>
    <w:rsid w:val="00A54257"/>
    <w:rsid w:val="00A55923"/>
    <w:rsid w:val="00A60F14"/>
    <w:rsid w:val="00A61A19"/>
    <w:rsid w:val="00A62BA1"/>
    <w:rsid w:val="00A66BED"/>
    <w:rsid w:val="00A707B3"/>
    <w:rsid w:val="00A70C11"/>
    <w:rsid w:val="00A70DB1"/>
    <w:rsid w:val="00A72EC9"/>
    <w:rsid w:val="00A75AFD"/>
    <w:rsid w:val="00A9088C"/>
    <w:rsid w:val="00A941C0"/>
    <w:rsid w:val="00A95963"/>
    <w:rsid w:val="00A973EE"/>
    <w:rsid w:val="00AA0126"/>
    <w:rsid w:val="00AA0933"/>
    <w:rsid w:val="00AA3670"/>
    <w:rsid w:val="00AA6277"/>
    <w:rsid w:val="00AA6949"/>
    <w:rsid w:val="00AB0AF2"/>
    <w:rsid w:val="00AB5EE5"/>
    <w:rsid w:val="00AC0D2C"/>
    <w:rsid w:val="00AC18DC"/>
    <w:rsid w:val="00AC2F67"/>
    <w:rsid w:val="00AC3AE3"/>
    <w:rsid w:val="00AC607F"/>
    <w:rsid w:val="00AD0331"/>
    <w:rsid w:val="00AE1953"/>
    <w:rsid w:val="00AE3616"/>
    <w:rsid w:val="00AE4243"/>
    <w:rsid w:val="00AE42C1"/>
    <w:rsid w:val="00AE6008"/>
    <w:rsid w:val="00AF1B9B"/>
    <w:rsid w:val="00AF35D5"/>
    <w:rsid w:val="00B00170"/>
    <w:rsid w:val="00B0036B"/>
    <w:rsid w:val="00B01ACA"/>
    <w:rsid w:val="00B0545C"/>
    <w:rsid w:val="00B10E86"/>
    <w:rsid w:val="00B11FE2"/>
    <w:rsid w:val="00B15133"/>
    <w:rsid w:val="00B1581C"/>
    <w:rsid w:val="00B15A03"/>
    <w:rsid w:val="00B16D55"/>
    <w:rsid w:val="00B2153B"/>
    <w:rsid w:val="00B232A7"/>
    <w:rsid w:val="00B26451"/>
    <w:rsid w:val="00B378BA"/>
    <w:rsid w:val="00B37958"/>
    <w:rsid w:val="00B40B26"/>
    <w:rsid w:val="00B4218E"/>
    <w:rsid w:val="00B421FE"/>
    <w:rsid w:val="00B465C5"/>
    <w:rsid w:val="00B476C3"/>
    <w:rsid w:val="00B50362"/>
    <w:rsid w:val="00B50ECA"/>
    <w:rsid w:val="00B517A5"/>
    <w:rsid w:val="00B53D6D"/>
    <w:rsid w:val="00B610FB"/>
    <w:rsid w:val="00B61FF5"/>
    <w:rsid w:val="00B62945"/>
    <w:rsid w:val="00B62A2F"/>
    <w:rsid w:val="00B6571C"/>
    <w:rsid w:val="00B658EB"/>
    <w:rsid w:val="00B663FA"/>
    <w:rsid w:val="00B67BF6"/>
    <w:rsid w:val="00B72105"/>
    <w:rsid w:val="00B7369A"/>
    <w:rsid w:val="00B73BE4"/>
    <w:rsid w:val="00B80805"/>
    <w:rsid w:val="00B820FE"/>
    <w:rsid w:val="00B82184"/>
    <w:rsid w:val="00B82442"/>
    <w:rsid w:val="00B82D52"/>
    <w:rsid w:val="00B8328E"/>
    <w:rsid w:val="00B84E4B"/>
    <w:rsid w:val="00B86E78"/>
    <w:rsid w:val="00B86FFF"/>
    <w:rsid w:val="00B90CD5"/>
    <w:rsid w:val="00B91F59"/>
    <w:rsid w:val="00B92616"/>
    <w:rsid w:val="00B954B1"/>
    <w:rsid w:val="00B97404"/>
    <w:rsid w:val="00B978F1"/>
    <w:rsid w:val="00BA1377"/>
    <w:rsid w:val="00BA13A3"/>
    <w:rsid w:val="00BA2747"/>
    <w:rsid w:val="00BA4268"/>
    <w:rsid w:val="00BA4595"/>
    <w:rsid w:val="00BA6E2F"/>
    <w:rsid w:val="00BB03F0"/>
    <w:rsid w:val="00BB0676"/>
    <w:rsid w:val="00BB17CA"/>
    <w:rsid w:val="00BB2F56"/>
    <w:rsid w:val="00BB4762"/>
    <w:rsid w:val="00BB7E6A"/>
    <w:rsid w:val="00BC1702"/>
    <w:rsid w:val="00BC191F"/>
    <w:rsid w:val="00BC2D8B"/>
    <w:rsid w:val="00BC3AFE"/>
    <w:rsid w:val="00BC48AF"/>
    <w:rsid w:val="00BC557F"/>
    <w:rsid w:val="00BC7113"/>
    <w:rsid w:val="00BD1442"/>
    <w:rsid w:val="00BD1A20"/>
    <w:rsid w:val="00BD28BD"/>
    <w:rsid w:val="00BD36E2"/>
    <w:rsid w:val="00BD525C"/>
    <w:rsid w:val="00BD5F51"/>
    <w:rsid w:val="00BD7078"/>
    <w:rsid w:val="00BD7977"/>
    <w:rsid w:val="00BE087B"/>
    <w:rsid w:val="00BE2DAD"/>
    <w:rsid w:val="00BE5C2F"/>
    <w:rsid w:val="00BF1FA2"/>
    <w:rsid w:val="00BF3435"/>
    <w:rsid w:val="00BF6737"/>
    <w:rsid w:val="00BF691A"/>
    <w:rsid w:val="00BF7EB1"/>
    <w:rsid w:val="00C02C30"/>
    <w:rsid w:val="00C04CD3"/>
    <w:rsid w:val="00C04D3B"/>
    <w:rsid w:val="00C059AF"/>
    <w:rsid w:val="00C070B9"/>
    <w:rsid w:val="00C078E1"/>
    <w:rsid w:val="00C1331B"/>
    <w:rsid w:val="00C13CE9"/>
    <w:rsid w:val="00C2344E"/>
    <w:rsid w:val="00C2493F"/>
    <w:rsid w:val="00C259F2"/>
    <w:rsid w:val="00C27796"/>
    <w:rsid w:val="00C30136"/>
    <w:rsid w:val="00C30A5B"/>
    <w:rsid w:val="00C312F0"/>
    <w:rsid w:val="00C35612"/>
    <w:rsid w:val="00C36E4C"/>
    <w:rsid w:val="00C373FC"/>
    <w:rsid w:val="00C379B2"/>
    <w:rsid w:val="00C42679"/>
    <w:rsid w:val="00C43EDC"/>
    <w:rsid w:val="00C443AF"/>
    <w:rsid w:val="00C44F5D"/>
    <w:rsid w:val="00C46512"/>
    <w:rsid w:val="00C52456"/>
    <w:rsid w:val="00C52B0C"/>
    <w:rsid w:val="00C55F9B"/>
    <w:rsid w:val="00C61B5E"/>
    <w:rsid w:val="00C61F44"/>
    <w:rsid w:val="00C62FC0"/>
    <w:rsid w:val="00C66A93"/>
    <w:rsid w:val="00C7161A"/>
    <w:rsid w:val="00C74735"/>
    <w:rsid w:val="00C7636B"/>
    <w:rsid w:val="00C76673"/>
    <w:rsid w:val="00C771F5"/>
    <w:rsid w:val="00C813E3"/>
    <w:rsid w:val="00C8442A"/>
    <w:rsid w:val="00C84953"/>
    <w:rsid w:val="00C86066"/>
    <w:rsid w:val="00C8759D"/>
    <w:rsid w:val="00C91638"/>
    <w:rsid w:val="00C9271E"/>
    <w:rsid w:val="00C931B3"/>
    <w:rsid w:val="00C936DD"/>
    <w:rsid w:val="00C93E78"/>
    <w:rsid w:val="00C963F1"/>
    <w:rsid w:val="00CA03D1"/>
    <w:rsid w:val="00CA0D9F"/>
    <w:rsid w:val="00CA1386"/>
    <w:rsid w:val="00CA2DF2"/>
    <w:rsid w:val="00CA3391"/>
    <w:rsid w:val="00CA72D2"/>
    <w:rsid w:val="00CA75C7"/>
    <w:rsid w:val="00CB0720"/>
    <w:rsid w:val="00CB1661"/>
    <w:rsid w:val="00CB2C86"/>
    <w:rsid w:val="00CB2DFD"/>
    <w:rsid w:val="00CB55B6"/>
    <w:rsid w:val="00CC0431"/>
    <w:rsid w:val="00CC272D"/>
    <w:rsid w:val="00CC35BA"/>
    <w:rsid w:val="00CC3DD8"/>
    <w:rsid w:val="00CC591A"/>
    <w:rsid w:val="00CC66B5"/>
    <w:rsid w:val="00CD4309"/>
    <w:rsid w:val="00CD44D7"/>
    <w:rsid w:val="00CD5043"/>
    <w:rsid w:val="00CD5288"/>
    <w:rsid w:val="00CD6294"/>
    <w:rsid w:val="00CD6E3F"/>
    <w:rsid w:val="00CE0725"/>
    <w:rsid w:val="00CE305D"/>
    <w:rsid w:val="00CE3443"/>
    <w:rsid w:val="00CE34AC"/>
    <w:rsid w:val="00CE58DB"/>
    <w:rsid w:val="00CE70FC"/>
    <w:rsid w:val="00CF17FD"/>
    <w:rsid w:val="00CF207E"/>
    <w:rsid w:val="00CF3CB5"/>
    <w:rsid w:val="00CF40F1"/>
    <w:rsid w:val="00CF4267"/>
    <w:rsid w:val="00CF5681"/>
    <w:rsid w:val="00CF5767"/>
    <w:rsid w:val="00CF6CC5"/>
    <w:rsid w:val="00CF6D70"/>
    <w:rsid w:val="00CF7982"/>
    <w:rsid w:val="00D018FB"/>
    <w:rsid w:val="00D01E7A"/>
    <w:rsid w:val="00D055CC"/>
    <w:rsid w:val="00D07D39"/>
    <w:rsid w:val="00D102AB"/>
    <w:rsid w:val="00D10CF1"/>
    <w:rsid w:val="00D110E8"/>
    <w:rsid w:val="00D13385"/>
    <w:rsid w:val="00D15687"/>
    <w:rsid w:val="00D1583B"/>
    <w:rsid w:val="00D16AC5"/>
    <w:rsid w:val="00D16CDE"/>
    <w:rsid w:val="00D17267"/>
    <w:rsid w:val="00D175E9"/>
    <w:rsid w:val="00D207A7"/>
    <w:rsid w:val="00D21B32"/>
    <w:rsid w:val="00D23105"/>
    <w:rsid w:val="00D25EE5"/>
    <w:rsid w:val="00D27BBC"/>
    <w:rsid w:val="00D30CFE"/>
    <w:rsid w:val="00D41FC0"/>
    <w:rsid w:val="00D4220D"/>
    <w:rsid w:val="00D4343E"/>
    <w:rsid w:val="00D4428C"/>
    <w:rsid w:val="00D45E2B"/>
    <w:rsid w:val="00D516D8"/>
    <w:rsid w:val="00D5216B"/>
    <w:rsid w:val="00D5223B"/>
    <w:rsid w:val="00D533D2"/>
    <w:rsid w:val="00D53FA4"/>
    <w:rsid w:val="00D54124"/>
    <w:rsid w:val="00D5423F"/>
    <w:rsid w:val="00D54779"/>
    <w:rsid w:val="00D549BB"/>
    <w:rsid w:val="00D55532"/>
    <w:rsid w:val="00D56DD1"/>
    <w:rsid w:val="00D601CF"/>
    <w:rsid w:val="00D6196C"/>
    <w:rsid w:val="00D6306C"/>
    <w:rsid w:val="00D63D8D"/>
    <w:rsid w:val="00D64A7D"/>
    <w:rsid w:val="00D6530A"/>
    <w:rsid w:val="00D67F46"/>
    <w:rsid w:val="00D73671"/>
    <w:rsid w:val="00D73E80"/>
    <w:rsid w:val="00D74D81"/>
    <w:rsid w:val="00D809A3"/>
    <w:rsid w:val="00D824C8"/>
    <w:rsid w:val="00D86E2C"/>
    <w:rsid w:val="00D9056B"/>
    <w:rsid w:val="00D92525"/>
    <w:rsid w:val="00D97466"/>
    <w:rsid w:val="00DA3D66"/>
    <w:rsid w:val="00DA7767"/>
    <w:rsid w:val="00DB23D2"/>
    <w:rsid w:val="00DB3F65"/>
    <w:rsid w:val="00DB6815"/>
    <w:rsid w:val="00DB6959"/>
    <w:rsid w:val="00DB702A"/>
    <w:rsid w:val="00DC09CD"/>
    <w:rsid w:val="00DC0F5A"/>
    <w:rsid w:val="00DC1277"/>
    <w:rsid w:val="00DC22D1"/>
    <w:rsid w:val="00DC27CF"/>
    <w:rsid w:val="00DC5EDB"/>
    <w:rsid w:val="00DC7128"/>
    <w:rsid w:val="00DC7540"/>
    <w:rsid w:val="00DC78A2"/>
    <w:rsid w:val="00DD3155"/>
    <w:rsid w:val="00DE0F12"/>
    <w:rsid w:val="00DE42BC"/>
    <w:rsid w:val="00DE57B3"/>
    <w:rsid w:val="00DE5DBB"/>
    <w:rsid w:val="00DE6059"/>
    <w:rsid w:val="00DF0576"/>
    <w:rsid w:val="00DF1775"/>
    <w:rsid w:val="00DF547E"/>
    <w:rsid w:val="00DF6151"/>
    <w:rsid w:val="00DF64D0"/>
    <w:rsid w:val="00E03D96"/>
    <w:rsid w:val="00E046BA"/>
    <w:rsid w:val="00E04BFA"/>
    <w:rsid w:val="00E05133"/>
    <w:rsid w:val="00E0549F"/>
    <w:rsid w:val="00E06D2E"/>
    <w:rsid w:val="00E11C22"/>
    <w:rsid w:val="00E124F7"/>
    <w:rsid w:val="00E1518E"/>
    <w:rsid w:val="00E222CB"/>
    <w:rsid w:val="00E27002"/>
    <w:rsid w:val="00E27862"/>
    <w:rsid w:val="00E335A3"/>
    <w:rsid w:val="00E35FCA"/>
    <w:rsid w:val="00E3787C"/>
    <w:rsid w:val="00E44CB0"/>
    <w:rsid w:val="00E5560C"/>
    <w:rsid w:val="00E55BE9"/>
    <w:rsid w:val="00E6265E"/>
    <w:rsid w:val="00E652FF"/>
    <w:rsid w:val="00E6624C"/>
    <w:rsid w:val="00E66254"/>
    <w:rsid w:val="00E67016"/>
    <w:rsid w:val="00E70761"/>
    <w:rsid w:val="00E70DCF"/>
    <w:rsid w:val="00E74A6F"/>
    <w:rsid w:val="00E7593E"/>
    <w:rsid w:val="00E76611"/>
    <w:rsid w:val="00E80465"/>
    <w:rsid w:val="00E807CD"/>
    <w:rsid w:val="00E81F57"/>
    <w:rsid w:val="00E8571F"/>
    <w:rsid w:val="00E85CF9"/>
    <w:rsid w:val="00E874CA"/>
    <w:rsid w:val="00E901B4"/>
    <w:rsid w:val="00E913EA"/>
    <w:rsid w:val="00E96F42"/>
    <w:rsid w:val="00EA0839"/>
    <w:rsid w:val="00EA2251"/>
    <w:rsid w:val="00EC0858"/>
    <w:rsid w:val="00EC0BF8"/>
    <w:rsid w:val="00EC126D"/>
    <w:rsid w:val="00EC16E3"/>
    <w:rsid w:val="00EC20BF"/>
    <w:rsid w:val="00EC2D4C"/>
    <w:rsid w:val="00EC4AB4"/>
    <w:rsid w:val="00EC6678"/>
    <w:rsid w:val="00ED0803"/>
    <w:rsid w:val="00ED368F"/>
    <w:rsid w:val="00ED43C1"/>
    <w:rsid w:val="00ED6125"/>
    <w:rsid w:val="00ED6658"/>
    <w:rsid w:val="00ED6DFE"/>
    <w:rsid w:val="00EE0F7C"/>
    <w:rsid w:val="00EE1D6C"/>
    <w:rsid w:val="00EE59E0"/>
    <w:rsid w:val="00EE5AAC"/>
    <w:rsid w:val="00EE5C5F"/>
    <w:rsid w:val="00EE637F"/>
    <w:rsid w:val="00EE700A"/>
    <w:rsid w:val="00EE78D3"/>
    <w:rsid w:val="00EE7EFC"/>
    <w:rsid w:val="00EF1AAC"/>
    <w:rsid w:val="00EF320C"/>
    <w:rsid w:val="00EF4454"/>
    <w:rsid w:val="00EF4A12"/>
    <w:rsid w:val="00EF4FEE"/>
    <w:rsid w:val="00EF5904"/>
    <w:rsid w:val="00EF60EA"/>
    <w:rsid w:val="00EF782F"/>
    <w:rsid w:val="00EF7C1C"/>
    <w:rsid w:val="00F020F3"/>
    <w:rsid w:val="00F03B13"/>
    <w:rsid w:val="00F041CB"/>
    <w:rsid w:val="00F0677F"/>
    <w:rsid w:val="00F07E4F"/>
    <w:rsid w:val="00F105A9"/>
    <w:rsid w:val="00F10DDA"/>
    <w:rsid w:val="00F1288F"/>
    <w:rsid w:val="00F136B9"/>
    <w:rsid w:val="00F13C98"/>
    <w:rsid w:val="00F16368"/>
    <w:rsid w:val="00F234B2"/>
    <w:rsid w:val="00F25E52"/>
    <w:rsid w:val="00F31FCC"/>
    <w:rsid w:val="00F321C2"/>
    <w:rsid w:val="00F33189"/>
    <w:rsid w:val="00F43657"/>
    <w:rsid w:val="00F45906"/>
    <w:rsid w:val="00F4689E"/>
    <w:rsid w:val="00F51915"/>
    <w:rsid w:val="00F5231E"/>
    <w:rsid w:val="00F56845"/>
    <w:rsid w:val="00F57CCC"/>
    <w:rsid w:val="00F6185A"/>
    <w:rsid w:val="00F6297B"/>
    <w:rsid w:val="00F63431"/>
    <w:rsid w:val="00F635DE"/>
    <w:rsid w:val="00F64DB8"/>
    <w:rsid w:val="00F70FFB"/>
    <w:rsid w:val="00F7110F"/>
    <w:rsid w:val="00F72F25"/>
    <w:rsid w:val="00F740B1"/>
    <w:rsid w:val="00F741C4"/>
    <w:rsid w:val="00F74E3F"/>
    <w:rsid w:val="00F751A6"/>
    <w:rsid w:val="00F75AD0"/>
    <w:rsid w:val="00F803FC"/>
    <w:rsid w:val="00F82DE2"/>
    <w:rsid w:val="00F865A2"/>
    <w:rsid w:val="00F86E3F"/>
    <w:rsid w:val="00F87AFE"/>
    <w:rsid w:val="00F87C7E"/>
    <w:rsid w:val="00F87ECB"/>
    <w:rsid w:val="00F904B3"/>
    <w:rsid w:val="00F9376C"/>
    <w:rsid w:val="00F95D1C"/>
    <w:rsid w:val="00F96529"/>
    <w:rsid w:val="00F978E6"/>
    <w:rsid w:val="00FA14BA"/>
    <w:rsid w:val="00FA1CCC"/>
    <w:rsid w:val="00FA396A"/>
    <w:rsid w:val="00FA686B"/>
    <w:rsid w:val="00FA71CC"/>
    <w:rsid w:val="00FB10E4"/>
    <w:rsid w:val="00FB18FF"/>
    <w:rsid w:val="00FB273D"/>
    <w:rsid w:val="00FB4431"/>
    <w:rsid w:val="00FB6E17"/>
    <w:rsid w:val="00FB7297"/>
    <w:rsid w:val="00FC072A"/>
    <w:rsid w:val="00FC2E2A"/>
    <w:rsid w:val="00FC392D"/>
    <w:rsid w:val="00FC6002"/>
    <w:rsid w:val="00FC6E80"/>
    <w:rsid w:val="00FD0877"/>
    <w:rsid w:val="00FD0FD3"/>
    <w:rsid w:val="00FD376F"/>
    <w:rsid w:val="00FD507B"/>
    <w:rsid w:val="00FE202A"/>
    <w:rsid w:val="00FE31C6"/>
    <w:rsid w:val="00FF0178"/>
    <w:rsid w:val="00FF2D7B"/>
    <w:rsid w:val="00FF2F63"/>
    <w:rsid w:val="024E4C29"/>
    <w:rsid w:val="042F77EC"/>
    <w:rsid w:val="04856F04"/>
    <w:rsid w:val="056D77F4"/>
    <w:rsid w:val="067A4160"/>
    <w:rsid w:val="06EF7CF0"/>
    <w:rsid w:val="08DB5D77"/>
    <w:rsid w:val="09816EE7"/>
    <w:rsid w:val="09EC6D23"/>
    <w:rsid w:val="0A1C2427"/>
    <w:rsid w:val="0ABB15DD"/>
    <w:rsid w:val="0B754EF6"/>
    <w:rsid w:val="0BE63E40"/>
    <w:rsid w:val="0C4A3A10"/>
    <w:rsid w:val="0C782D8D"/>
    <w:rsid w:val="0E3F2FE0"/>
    <w:rsid w:val="0F283F1E"/>
    <w:rsid w:val="0FD67967"/>
    <w:rsid w:val="0FDC3C9B"/>
    <w:rsid w:val="129629FD"/>
    <w:rsid w:val="12C32273"/>
    <w:rsid w:val="14CB142B"/>
    <w:rsid w:val="15271896"/>
    <w:rsid w:val="15EB3AF0"/>
    <w:rsid w:val="191C3316"/>
    <w:rsid w:val="19FB7AAE"/>
    <w:rsid w:val="1C035EFE"/>
    <w:rsid w:val="1C5A595D"/>
    <w:rsid w:val="1D753EBB"/>
    <w:rsid w:val="1D78795A"/>
    <w:rsid w:val="1D906024"/>
    <w:rsid w:val="1DAA72BB"/>
    <w:rsid w:val="2006709A"/>
    <w:rsid w:val="22873A35"/>
    <w:rsid w:val="23125A98"/>
    <w:rsid w:val="23436852"/>
    <w:rsid w:val="234D33B5"/>
    <w:rsid w:val="24FC07CA"/>
    <w:rsid w:val="254A429C"/>
    <w:rsid w:val="270A7CE4"/>
    <w:rsid w:val="293B0155"/>
    <w:rsid w:val="2B960C8F"/>
    <w:rsid w:val="2BA37FA5"/>
    <w:rsid w:val="2C4F69E9"/>
    <w:rsid w:val="2CA659D9"/>
    <w:rsid w:val="2D017EE1"/>
    <w:rsid w:val="2DF1306D"/>
    <w:rsid w:val="2E866F35"/>
    <w:rsid w:val="30B84586"/>
    <w:rsid w:val="31BB7257"/>
    <w:rsid w:val="31C23872"/>
    <w:rsid w:val="32B6041D"/>
    <w:rsid w:val="34B44085"/>
    <w:rsid w:val="35335C58"/>
    <w:rsid w:val="35571415"/>
    <w:rsid w:val="35CB70D1"/>
    <w:rsid w:val="36321AB2"/>
    <w:rsid w:val="37020A8A"/>
    <w:rsid w:val="37AC591D"/>
    <w:rsid w:val="391842BA"/>
    <w:rsid w:val="39BA6046"/>
    <w:rsid w:val="3BA047D4"/>
    <w:rsid w:val="3BA62369"/>
    <w:rsid w:val="3E110C94"/>
    <w:rsid w:val="3E2148E6"/>
    <w:rsid w:val="3E2E17BE"/>
    <w:rsid w:val="3EDB1EAC"/>
    <w:rsid w:val="3F890D4B"/>
    <w:rsid w:val="4234324C"/>
    <w:rsid w:val="43345D34"/>
    <w:rsid w:val="43677A21"/>
    <w:rsid w:val="43D42BD0"/>
    <w:rsid w:val="43D76DDC"/>
    <w:rsid w:val="448B4301"/>
    <w:rsid w:val="45F0155E"/>
    <w:rsid w:val="46105782"/>
    <w:rsid w:val="47C11FDE"/>
    <w:rsid w:val="499A5443"/>
    <w:rsid w:val="4BD26552"/>
    <w:rsid w:val="4BE01BC7"/>
    <w:rsid w:val="4CB726ED"/>
    <w:rsid w:val="4D5F65CA"/>
    <w:rsid w:val="4D8A1CCE"/>
    <w:rsid w:val="4E156DAE"/>
    <w:rsid w:val="4E5072FA"/>
    <w:rsid w:val="5557610E"/>
    <w:rsid w:val="55DC1BEA"/>
    <w:rsid w:val="568A1BC7"/>
    <w:rsid w:val="57A06543"/>
    <w:rsid w:val="5860518C"/>
    <w:rsid w:val="58E81BA2"/>
    <w:rsid w:val="597D775D"/>
    <w:rsid w:val="5AC57455"/>
    <w:rsid w:val="5B287A5F"/>
    <w:rsid w:val="5D9C2B1F"/>
    <w:rsid w:val="5DFC0008"/>
    <w:rsid w:val="5E4C6EEE"/>
    <w:rsid w:val="5F0D61FF"/>
    <w:rsid w:val="5F517BED"/>
    <w:rsid w:val="60F978A2"/>
    <w:rsid w:val="63470DD6"/>
    <w:rsid w:val="65D72426"/>
    <w:rsid w:val="660B4510"/>
    <w:rsid w:val="66DC2BCD"/>
    <w:rsid w:val="671309C0"/>
    <w:rsid w:val="69A23771"/>
    <w:rsid w:val="6A195238"/>
    <w:rsid w:val="6CA9741E"/>
    <w:rsid w:val="6CE16587"/>
    <w:rsid w:val="6EB744AC"/>
    <w:rsid w:val="6EDD106E"/>
    <w:rsid w:val="6EFA460F"/>
    <w:rsid w:val="6FC565D0"/>
    <w:rsid w:val="71B15694"/>
    <w:rsid w:val="71B90522"/>
    <w:rsid w:val="75FC6F1D"/>
    <w:rsid w:val="75FE3104"/>
    <w:rsid w:val="760772B7"/>
    <w:rsid w:val="763B46F4"/>
    <w:rsid w:val="79DD23FB"/>
    <w:rsid w:val="7CDF4232"/>
    <w:rsid w:val="7D1E0D0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semiHidden="0"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67"/>
    <w:qFormat/>
    <w:uiPriority w:val="0"/>
    <w:pPr>
      <w:keepNext/>
      <w:keepLines/>
      <w:spacing w:before="260" w:after="260" w:line="415" w:lineRule="auto"/>
      <w:jc w:val="center"/>
      <w:outlineLvl w:val="1"/>
    </w:pPr>
    <w:rPr>
      <w:rFonts w:ascii="Times New Roman" w:hAnsi="Times New Roman" w:eastAsia="黑体" w:cs="Times New Roman"/>
      <w:sz w:val="32"/>
      <w:szCs w:val="32"/>
    </w:rPr>
  </w:style>
  <w:style w:type="paragraph" w:styleId="3">
    <w:name w:val="heading 4"/>
    <w:basedOn w:val="1"/>
    <w:next w:val="1"/>
    <w:link w:val="55"/>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35"/>
    <w:semiHidden/>
    <w:unhideWhenUsed/>
    <w:qFormat/>
    <w:uiPriority w:val="99"/>
    <w:rPr>
      <w:rFonts w:ascii="宋体" w:eastAsia="宋体"/>
      <w:sz w:val="18"/>
      <w:szCs w:val="18"/>
    </w:rPr>
  </w:style>
  <w:style w:type="paragraph" w:styleId="5">
    <w:name w:val="annotation text"/>
    <w:basedOn w:val="1"/>
    <w:link w:val="60"/>
    <w:semiHidden/>
    <w:unhideWhenUsed/>
    <w:qFormat/>
    <w:uiPriority w:val="0"/>
    <w:pPr>
      <w:jc w:val="left"/>
    </w:pPr>
  </w:style>
  <w:style w:type="paragraph" w:styleId="6">
    <w:name w:val="Plain Text"/>
    <w:basedOn w:val="1"/>
    <w:link w:val="37"/>
    <w:qFormat/>
    <w:uiPriority w:val="0"/>
    <w:rPr>
      <w:rFonts w:ascii="宋体" w:hAnsi="Courier New" w:eastAsia="宋体" w:cs="Times New Roman"/>
      <w:szCs w:val="20"/>
    </w:rPr>
  </w:style>
  <w:style w:type="paragraph" w:styleId="7">
    <w:name w:val="Date"/>
    <w:basedOn w:val="1"/>
    <w:next w:val="1"/>
    <w:link w:val="38"/>
    <w:semiHidden/>
    <w:unhideWhenUsed/>
    <w:qFormat/>
    <w:uiPriority w:val="99"/>
    <w:pPr>
      <w:ind w:left="100" w:leftChars="2500"/>
    </w:pPr>
  </w:style>
  <w:style w:type="paragraph" w:styleId="8">
    <w:name w:val="Balloon Text"/>
    <w:basedOn w:val="1"/>
    <w:link w:val="49"/>
    <w:semiHidden/>
    <w:unhideWhenUsed/>
    <w:qFormat/>
    <w:uiPriority w:val="99"/>
    <w:rPr>
      <w:sz w:val="18"/>
      <w:szCs w:val="18"/>
    </w:r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left" w:pos="1260"/>
        <w:tab w:val="right" w:leader="dot" w:pos="8296"/>
      </w:tabs>
    </w:pPr>
    <w:rPr>
      <w:rFonts w:ascii="Times New Roman" w:hAnsi="Times New Roman" w:eastAsia="宋体" w:cs="Times New Roman"/>
      <w:szCs w:val="24"/>
    </w:rPr>
  </w:style>
  <w:style w:type="paragraph" w:styleId="12">
    <w:name w:val="footnote text"/>
    <w:basedOn w:val="1"/>
    <w:link w:val="50"/>
    <w:unhideWhenUsed/>
    <w:qFormat/>
    <w:uiPriority w:val="99"/>
    <w:pPr>
      <w:snapToGrid w:val="0"/>
      <w:jc w:val="left"/>
    </w:pPr>
    <w:rPr>
      <w:sz w:val="18"/>
      <w:szCs w:val="18"/>
    </w:rPr>
  </w:style>
  <w:style w:type="paragraph" w:styleId="13">
    <w:name w:val="toc 2"/>
    <w:basedOn w:val="1"/>
    <w:next w:val="1"/>
    <w:unhideWhenUsed/>
    <w:qFormat/>
    <w:uiPriority w:val="39"/>
    <w:pPr>
      <w:autoSpaceDE w:val="0"/>
      <w:autoSpaceDN w:val="0"/>
      <w:ind w:left="420" w:leftChars="200" w:firstLine="200" w:firstLineChars="200"/>
    </w:pPr>
    <w:rPr>
      <w:rFonts w:ascii="Calibri" w:hAnsi="Calibri" w:eastAsia="宋体" w:cs="Times New Roman"/>
    </w:r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annotation subject"/>
    <w:basedOn w:val="5"/>
    <w:next w:val="5"/>
    <w:link w:val="61"/>
    <w:semiHidden/>
    <w:unhideWhenUsed/>
    <w:qFormat/>
    <w:uiPriority w:val="99"/>
    <w:rPr>
      <w:b/>
      <w:bCs/>
    </w:rPr>
  </w:style>
  <w:style w:type="table" w:styleId="17">
    <w:name w:val="Table Grid"/>
    <w:basedOn w:val="1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page number"/>
    <w:basedOn w:val="18"/>
    <w:qFormat/>
    <w:uiPriority w:val="99"/>
  </w:style>
  <w:style w:type="character" w:styleId="20">
    <w:name w:val="Hyperlink"/>
    <w:qFormat/>
    <w:uiPriority w:val="99"/>
    <w:rPr>
      <w:color w:val="3366CC"/>
      <w:u w:val="single"/>
    </w:rPr>
  </w:style>
  <w:style w:type="character" w:styleId="21">
    <w:name w:val="annotation reference"/>
    <w:basedOn w:val="18"/>
    <w:semiHidden/>
    <w:unhideWhenUsed/>
    <w:qFormat/>
    <w:uiPriority w:val="99"/>
    <w:rPr>
      <w:sz w:val="21"/>
      <w:szCs w:val="21"/>
    </w:rPr>
  </w:style>
  <w:style w:type="character" w:styleId="22">
    <w:name w:val="footnote reference"/>
    <w:basedOn w:val="18"/>
    <w:unhideWhenUsed/>
    <w:qFormat/>
    <w:uiPriority w:val="0"/>
    <w:rPr>
      <w:vertAlign w:val="superscript"/>
    </w:rPr>
  </w:style>
  <w:style w:type="character" w:customStyle="1" w:styleId="23">
    <w:name w:val="页眉 字符"/>
    <w:basedOn w:val="18"/>
    <w:link w:val="10"/>
    <w:qFormat/>
    <w:uiPriority w:val="99"/>
    <w:rPr>
      <w:sz w:val="18"/>
      <w:szCs w:val="18"/>
    </w:rPr>
  </w:style>
  <w:style w:type="character" w:customStyle="1" w:styleId="24">
    <w:name w:val="页脚 字符"/>
    <w:basedOn w:val="18"/>
    <w:link w:val="9"/>
    <w:qFormat/>
    <w:uiPriority w:val="99"/>
    <w:rPr>
      <w:sz w:val="18"/>
      <w:szCs w:val="18"/>
    </w:rPr>
  </w:style>
  <w:style w:type="paragraph" w:customStyle="1" w:styleId="25">
    <w:name w:val="N1"/>
    <w:basedOn w:val="1"/>
    <w:next w:val="1"/>
    <w:link w:val="26"/>
    <w:qFormat/>
    <w:uiPriority w:val="0"/>
    <w:pPr>
      <w:keepNext/>
      <w:pageBreakBefore/>
      <w:snapToGrid w:val="0"/>
      <w:spacing w:beforeLines="100" w:line="288" w:lineRule="auto"/>
      <w:jc w:val="center"/>
      <w:textAlignment w:val="center"/>
      <w:outlineLvl w:val="0"/>
    </w:pPr>
    <w:rPr>
      <w:rFonts w:ascii="Arial" w:hAnsi="Arial" w:eastAsia="黑体" w:cs="Arial"/>
      <w:snapToGrid w:val="0"/>
      <w:sz w:val="32"/>
    </w:rPr>
  </w:style>
  <w:style w:type="character" w:customStyle="1" w:styleId="26">
    <w:name w:val="N1 Char"/>
    <w:basedOn w:val="18"/>
    <w:link w:val="25"/>
    <w:qFormat/>
    <w:uiPriority w:val="0"/>
    <w:rPr>
      <w:rFonts w:ascii="Arial" w:hAnsi="Arial" w:eastAsia="黑体" w:cs="Arial"/>
      <w:snapToGrid w:val="0"/>
      <w:sz w:val="32"/>
    </w:rPr>
  </w:style>
  <w:style w:type="paragraph" w:customStyle="1" w:styleId="27">
    <w:name w:val="N2"/>
    <w:basedOn w:val="1"/>
    <w:next w:val="1"/>
    <w:link w:val="28"/>
    <w:qFormat/>
    <w:uiPriority w:val="0"/>
    <w:pPr>
      <w:keepNext/>
      <w:snapToGrid w:val="0"/>
      <w:spacing w:beforeLines="100" w:afterLines="100" w:line="288" w:lineRule="auto"/>
      <w:jc w:val="center"/>
      <w:textAlignment w:val="center"/>
      <w:outlineLvl w:val="1"/>
    </w:pPr>
    <w:rPr>
      <w:rFonts w:ascii="Arial" w:hAnsi="Arial" w:eastAsia="楷体" w:cs="Arial"/>
      <w:snapToGrid w:val="0"/>
      <w:sz w:val="28"/>
    </w:rPr>
  </w:style>
  <w:style w:type="character" w:customStyle="1" w:styleId="28">
    <w:name w:val="N2 Char"/>
    <w:basedOn w:val="18"/>
    <w:link w:val="27"/>
    <w:qFormat/>
    <w:uiPriority w:val="0"/>
    <w:rPr>
      <w:rFonts w:ascii="Arial" w:hAnsi="Arial" w:eastAsia="楷体" w:cs="Arial"/>
      <w:snapToGrid w:val="0"/>
      <w:sz w:val="28"/>
    </w:rPr>
  </w:style>
  <w:style w:type="paragraph" w:customStyle="1" w:styleId="29">
    <w:name w:val="N3"/>
    <w:basedOn w:val="1"/>
    <w:next w:val="1"/>
    <w:link w:val="30"/>
    <w:qFormat/>
    <w:uiPriority w:val="0"/>
    <w:pPr>
      <w:keepNext/>
      <w:snapToGrid w:val="0"/>
      <w:spacing w:line="288" w:lineRule="auto"/>
      <w:ind w:firstLine="200" w:firstLineChars="200"/>
      <w:jc w:val="left"/>
      <w:textAlignment w:val="center"/>
      <w:outlineLvl w:val="2"/>
    </w:pPr>
    <w:rPr>
      <w:rFonts w:ascii="宋体" w:hAnsi="Arial" w:eastAsia="宋体" w:cs="Arial"/>
      <w:b/>
      <w:snapToGrid w:val="0"/>
    </w:rPr>
  </w:style>
  <w:style w:type="character" w:customStyle="1" w:styleId="30">
    <w:name w:val="N3 Char"/>
    <w:basedOn w:val="18"/>
    <w:link w:val="29"/>
    <w:qFormat/>
    <w:uiPriority w:val="0"/>
    <w:rPr>
      <w:rFonts w:ascii="宋体" w:hAnsi="Arial" w:eastAsia="宋体" w:cs="Arial"/>
      <w:b/>
      <w:snapToGrid w:val="0"/>
    </w:rPr>
  </w:style>
  <w:style w:type="paragraph" w:customStyle="1" w:styleId="31">
    <w:name w:val="N4"/>
    <w:basedOn w:val="1"/>
    <w:next w:val="1"/>
    <w:link w:val="32"/>
    <w:qFormat/>
    <w:uiPriority w:val="0"/>
    <w:pPr>
      <w:snapToGrid w:val="0"/>
      <w:ind w:firstLine="200" w:firstLineChars="200"/>
      <w:jc w:val="left"/>
      <w:textAlignment w:val="center"/>
    </w:pPr>
    <w:rPr>
      <w:rFonts w:ascii="Times New Roman" w:hAnsi="Times New Roman" w:eastAsia="宋体" w:cs="Times New Roman"/>
      <w:snapToGrid w:val="0"/>
    </w:rPr>
  </w:style>
  <w:style w:type="character" w:customStyle="1" w:styleId="32">
    <w:name w:val="N4 Char"/>
    <w:basedOn w:val="18"/>
    <w:link w:val="31"/>
    <w:qFormat/>
    <w:uiPriority w:val="0"/>
    <w:rPr>
      <w:rFonts w:ascii="Times New Roman" w:hAnsi="Times New Roman" w:eastAsia="宋体" w:cs="Times New Roman"/>
      <w:snapToGrid w:val="0"/>
    </w:rPr>
  </w:style>
  <w:style w:type="paragraph" w:customStyle="1" w:styleId="33">
    <w:name w:val="N5"/>
    <w:basedOn w:val="1"/>
    <w:next w:val="1"/>
    <w:link w:val="34"/>
    <w:qFormat/>
    <w:uiPriority w:val="0"/>
    <w:pPr>
      <w:snapToGrid w:val="0"/>
      <w:ind w:firstLine="200" w:firstLineChars="200"/>
      <w:jc w:val="left"/>
      <w:textAlignment w:val="center"/>
    </w:pPr>
    <w:rPr>
      <w:rFonts w:ascii="Times New Roman" w:hAnsi="Times New Roman" w:eastAsia="宋体" w:cs="Times New Roman"/>
      <w:snapToGrid w:val="0"/>
    </w:rPr>
  </w:style>
  <w:style w:type="character" w:customStyle="1" w:styleId="34">
    <w:name w:val="N5 Char"/>
    <w:basedOn w:val="18"/>
    <w:link w:val="33"/>
    <w:qFormat/>
    <w:uiPriority w:val="0"/>
    <w:rPr>
      <w:rFonts w:ascii="Times New Roman" w:hAnsi="Times New Roman" w:eastAsia="宋体" w:cs="Times New Roman"/>
      <w:snapToGrid w:val="0"/>
    </w:rPr>
  </w:style>
  <w:style w:type="character" w:customStyle="1" w:styleId="35">
    <w:name w:val="文档结构图 字符"/>
    <w:basedOn w:val="18"/>
    <w:link w:val="4"/>
    <w:semiHidden/>
    <w:qFormat/>
    <w:uiPriority w:val="99"/>
    <w:rPr>
      <w:rFonts w:ascii="宋体" w:eastAsia="宋体"/>
      <w:sz w:val="18"/>
      <w:szCs w:val="18"/>
    </w:rPr>
  </w:style>
  <w:style w:type="character" w:customStyle="1" w:styleId="36">
    <w:name w:val="纯文本 Char"/>
    <w:basedOn w:val="18"/>
    <w:qFormat/>
    <w:uiPriority w:val="0"/>
    <w:rPr>
      <w:rFonts w:ascii="宋体" w:hAnsi="Courier New" w:eastAsia="宋体" w:cs="Courier New"/>
      <w:szCs w:val="21"/>
    </w:rPr>
  </w:style>
  <w:style w:type="character" w:customStyle="1" w:styleId="37">
    <w:name w:val="纯文本 字符"/>
    <w:link w:val="6"/>
    <w:qFormat/>
    <w:uiPriority w:val="0"/>
    <w:rPr>
      <w:rFonts w:ascii="宋体" w:hAnsi="Courier New" w:eastAsia="宋体" w:cs="Times New Roman"/>
      <w:szCs w:val="20"/>
    </w:rPr>
  </w:style>
  <w:style w:type="character" w:customStyle="1" w:styleId="38">
    <w:name w:val="日期 字符"/>
    <w:basedOn w:val="18"/>
    <w:link w:val="7"/>
    <w:semiHidden/>
    <w:qFormat/>
    <w:uiPriority w:val="99"/>
  </w:style>
  <w:style w:type="paragraph" w:customStyle="1" w:styleId="39">
    <w:name w:val="1级标题"/>
    <w:basedOn w:val="1"/>
    <w:qFormat/>
    <w:uiPriority w:val="0"/>
    <w:pPr>
      <w:keepNext/>
      <w:keepLines/>
      <w:pageBreakBefore/>
      <w:tabs>
        <w:tab w:val="left" w:pos="0"/>
      </w:tabs>
      <w:spacing w:before="100" w:beforeAutospacing="1" w:afterLines="100" w:line="480" w:lineRule="auto"/>
      <w:jc w:val="center"/>
      <w:outlineLvl w:val="0"/>
    </w:pPr>
    <w:rPr>
      <w:rFonts w:ascii="Arial" w:hAnsi="Arial" w:eastAsia="黑体" w:cs="Arial"/>
      <w:b/>
      <w:bCs/>
      <w:sz w:val="32"/>
      <w:szCs w:val="32"/>
    </w:rPr>
  </w:style>
  <w:style w:type="paragraph" w:customStyle="1" w:styleId="40">
    <w:name w:val="2级标题"/>
    <w:basedOn w:val="1"/>
    <w:qFormat/>
    <w:uiPriority w:val="0"/>
    <w:pPr>
      <w:keepNext/>
      <w:keepLines/>
      <w:spacing w:beforeLines="100" w:afterLines="100"/>
      <w:ind w:firstLine="442"/>
      <w:jc w:val="center"/>
      <w:outlineLvl w:val="1"/>
    </w:pPr>
    <w:rPr>
      <w:rFonts w:ascii="楷体" w:hAnsi="楷体" w:eastAsia="楷体" w:cs="Times New Roman"/>
      <w:b/>
      <w:sz w:val="28"/>
      <w:szCs w:val="24"/>
    </w:rPr>
  </w:style>
  <w:style w:type="paragraph" w:customStyle="1" w:styleId="41">
    <w:name w:val="3级标题"/>
    <w:basedOn w:val="40"/>
    <w:qFormat/>
    <w:uiPriority w:val="0"/>
    <w:pPr>
      <w:spacing w:afterLines="0"/>
      <w:ind w:left="-16"/>
      <w:jc w:val="both"/>
      <w:outlineLvl w:val="2"/>
    </w:pPr>
    <w:rPr>
      <w:rFonts w:asciiTheme="minorEastAsia" w:hAnsiTheme="minorEastAsia" w:eastAsiaTheme="minorEastAsia"/>
      <w:b w:val="0"/>
      <w:sz w:val="21"/>
    </w:rPr>
  </w:style>
  <w:style w:type="paragraph" w:customStyle="1" w:styleId="42">
    <w:name w:val="5级标题"/>
    <w:basedOn w:val="31"/>
    <w:link w:val="45"/>
    <w:qFormat/>
    <w:uiPriority w:val="0"/>
    <w:pPr>
      <w:autoSpaceDE w:val="0"/>
      <w:autoSpaceDN w:val="0"/>
      <w:adjustRightInd w:val="0"/>
      <w:snapToGrid/>
      <w:ind w:left="267" w:firstLine="442" w:firstLineChars="0"/>
      <w:textAlignment w:val="auto"/>
      <w:outlineLvl w:val="4"/>
    </w:pPr>
    <w:rPr>
      <w:rFonts w:hAnsi="宋体"/>
      <w:snapToGrid/>
      <w:kern w:val="0"/>
      <w:szCs w:val="21"/>
    </w:rPr>
  </w:style>
  <w:style w:type="paragraph" w:customStyle="1" w:styleId="43">
    <w:name w:val="6级标题"/>
    <w:basedOn w:val="42"/>
    <w:link w:val="51"/>
    <w:qFormat/>
    <w:uiPriority w:val="0"/>
    <w:pPr>
      <w:ind w:left="0" w:firstLine="567"/>
      <w:outlineLvl w:val="5"/>
    </w:pPr>
  </w:style>
  <w:style w:type="paragraph" w:customStyle="1" w:styleId="44">
    <w:name w:val="N7"/>
    <w:basedOn w:val="43"/>
    <w:qFormat/>
    <w:uiPriority w:val="0"/>
    <w:pPr>
      <w:ind w:left="2940" w:hanging="420"/>
    </w:pPr>
  </w:style>
  <w:style w:type="character" w:customStyle="1" w:styleId="45">
    <w:name w:val="5级标题 Char"/>
    <w:basedOn w:val="18"/>
    <w:link w:val="42"/>
    <w:qFormat/>
    <w:uiPriority w:val="0"/>
    <w:rPr>
      <w:rFonts w:ascii="Times New Roman" w:hAnsi="宋体" w:eastAsia="宋体" w:cs="Times New Roman"/>
      <w:kern w:val="0"/>
      <w:szCs w:val="21"/>
    </w:rPr>
  </w:style>
  <w:style w:type="paragraph" w:customStyle="1" w:styleId="46">
    <w:name w:val="NTB"/>
    <w:basedOn w:val="1"/>
    <w:next w:val="1"/>
    <w:link w:val="47"/>
    <w:qFormat/>
    <w:uiPriority w:val="0"/>
    <w:pPr>
      <w:pBdr>
        <w:top w:val="single" w:color="0000FF" w:sz="4" w:space="1"/>
        <w:left w:val="single" w:color="0000FF" w:sz="4" w:space="4"/>
        <w:bottom w:val="single" w:color="0000FF" w:sz="4" w:space="1"/>
        <w:right w:val="single" w:color="0000FF" w:sz="4" w:space="4"/>
      </w:pBdr>
      <w:snapToGrid w:val="0"/>
      <w:ind w:firstLine="200" w:firstLineChars="200"/>
      <w:textAlignment w:val="center"/>
    </w:pPr>
    <w:rPr>
      <w:rFonts w:ascii="Times New Roman" w:hAnsi="Times New Roman" w:eastAsia="宋体" w:cs="Times New Roman"/>
      <w:snapToGrid w:val="0"/>
      <w:color w:val="00CCFF"/>
    </w:rPr>
  </w:style>
  <w:style w:type="character" w:customStyle="1" w:styleId="47">
    <w:name w:val="NTB Char"/>
    <w:link w:val="46"/>
    <w:qFormat/>
    <w:uiPriority w:val="0"/>
    <w:rPr>
      <w:rFonts w:ascii="Times New Roman" w:hAnsi="Times New Roman" w:eastAsia="宋体" w:cs="Times New Roman"/>
      <w:snapToGrid w:val="0"/>
      <w:color w:val="00CCFF"/>
    </w:rPr>
  </w:style>
  <w:style w:type="paragraph" w:customStyle="1" w:styleId="48">
    <w:name w:val="N9正文"/>
    <w:basedOn w:val="33"/>
    <w:qFormat/>
    <w:uiPriority w:val="0"/>
    <w:pPr>
      <w:autoSpaceDE w:val="0"/>
      <w:autoSpaceDN w:val="0"/>
      <w:adjustRightInd w:val="0"/>
      <w:snapToGrid/>
      <w:textAlignment w:val="auto"/>
    </w:pPr>
    <w:rPr>
      <w:rFonts w:hAnsi="宋体"/>
      <w:snapToGrid/>
      <w:kern w:val="0"/>
      <w:szCs w:val="21"/>
    </w:rPr>
  </w:style>
  <w:style w:type="character" w:customStyle="1" w:styleId="49">
    <w:name w:val="批注框文本 字符"/>
    <w:basedOn w:val="18"/>
    <w:link w:val="8"/>
    <w:semiHidden/>
    <w:qFormat/>
    <w:uiPriority w:val="99"/>
    <w:rPr>
      <w:sz w:val="18"/>
      <w:szCs w:val="18"/>
    </w:rPr>
  </w:style>
  <w:style w:type="character" w:customStyle="1" w:styleId="50">
    <w:name w:val="脚注文本 字符"/>
    <w:basedOn w:val="18"/>
    <w:link w:val="12"/>
    <w:qFormat/>
    <w:uiPriority w:val="99"/>
    <w:rPr>
      <w:sz w:val="18"/>
      <w:szCs w:val="18"/>
    </w:rPr>
  </w:style>
  <w:style w:type="character" w:customStyle="1" w:styleId="51">
    <w:name w:val="6级标题 Char"/>
    <w:basedOn w:val="45"/>
    <w:link w:val="43"/>
    <w:qFormat/>
    <w:uiPriority w:val="0"/>
    <w:rPr>
      <w:rFonts w:ascii="Times New Roman" w:hAnsi="宋体" w:eastAsia="宋体" w:cs="Times New Roman"/>
      <w:kern w:val="0"/>
      <w:szCs w:val="21"/>
    </w:rPr>
  </w:style>
  <w:style w:type="paragraph" w:styleId="52">
    <w:name w:val="List Paragraph"/>
    <w:basedOn w:val="1"/>
    <w:link w:val="65"/>
    <w:qFormat/>
    <w:uiPriority w:val="34"/>
    <w:pPr>
      <w:ind w:firstLine="420" w:firstLineChars="200"/>
    </w:pPr>
  </w:style>
  <w:style w:type="paragraph" w:customStyle="1" w:styleId="53">
    <w:name w:val="法规正文"/>
    <w:basedOn w:val="3"/>
    <w:link w:val="54"/>
    <w:qFormat/>
    <w:uiPriority w:val="0"/>
    <w:pPr>
      <w:keepNext w:val="0"/>
      <w:keepLines w:val="0"/>
      <w:adjustRightInd w:val="0"/>
      <w:snapToGrid w:val="0"/>
      <w:spacing w:before="0" w:after="0" w:line="360" w:lineRule="auto"/>
      <w:ind w:left="2100" w:hanging="420"/>
    </w:pPr>
    <w:rPr>
      <w:rFonts w:ascii="Times New Roman" w:hAnsi="Times New Roman" w:eastAsia="宋体" w:cs="Times New Roman"/>
      <w:b w:val="0"/>
      <w:kern w:val="0"/>
      <w:sz w:val="21"/>
    </w:rPr>
  </w:style>
  <w:style w:type="character" w:customStyle="1" w:styleId="54">
    <w:name w:val="法规正文 Char"/>
    <w:link w:val="53"/>
    <w:qFormat/>
    <w:uiPriority w:val="0"/>
    <w:rPr>
      <w:rFonts w:ascii="Times New Roman" w:hAnsi="Times New Roman" w:eastAsia="宋体" w:cs="Times New Roman"/>
      <w:bCs/>
      <w:kern w:val="0"/>
      <w:szCs w:val="28"/>
    </w:rPr>
  </w:style>
  <w:style w:type="character" w:customStyle="1" w:styleId="55">
    <w:name w:val="标题 4 字符"/>
    <w:basedOn w:val="18"/>
    <w:link w:val="3"/>
    <w:semiHidden/>
    <w:qFormat/>
    <w:uiPriority w:val="9"/>
    <w:rPr>
      <w:rFonts w:asciiTheme="majorHAnsi" w:hAnsiTheme="majorHAnsi" w:eastAsiaTheme="majorEastAsia" w:cstheme="majorBidi"/>
      <w:b/>
      <w:bCs/>
      <w:sz w:val="28"/>
      <w:szCs w:val="28"/>
    </w:rPr>
  </w:style>
  <w:style w:type="paragraph" w:customStyle="1" w:styleId="56">
    <w:name w:val="2级"/>
    <w:basedOn w:val="53"/>
    <w:link w:val="57"/>
    <w:qFormat/>
    <w:uiPriority w:val="0"/>
    <w:pPr>
      <w:numPr>
        <w:ilvl w:val="0"/>
        <w:numId w:val="1"/>
      </w:numPr>
      <w:outlineLvl w:val="1"/>
    </w:pPr>
    <w:rPr>
      <w:rFonts w:ascii="宋体" w:hAnsi="宋体" w:cs="宋体"/>
      <w:b/>
    </w:rPr>
  </w:style>
  <w:style w:type="character" w:customStyle="1" w:styleId="57">
    <w:name w:val="2级 Char"/>
    <w:link w:val="56"/>
    <w:qFormat/>
    <w:uiPriority w:val="0"/>
    <w:rPr>
      <w:rFonts w:ascii="宋体" w:hAnsi="宋体" w:eastAsia="宋体" w:cs="宋体"/>
      <w:b/>
      <w:bCs/>
      <w:sz w:val="21"/>
      <w:szCs w:val="28"/>
    </w:rPr>
  </w:style>
  <w:style w:type="paragraph" w:customStyle="1" w:styleId="58">
    <w:name w:val="5级"/>
    <w:basedOn w:val="53"/>
    <w:link w:val="59"/>
    <w:qFormat/>
    <w:uiPriority w:val="0"/>
    <w:pPr>
      <w:numPr>
        <w:ilvl w:val="0"/>
        <w:numId w:val="2"/>
      </w:numPr>
    </w:pPr>
    <w:rPr>
      <w:rFonts w:ascii="宋体" w:hAnsi="宋体"/>
    </w:rPr>
  </w:style>
  <w:style w:type="character" w:customStyle="1" w:styleId="59">
    <w:name w:val="5级 Char"/>
    <w:link w:val="58"/>
    <w:qFormat/>
    <w:uiPriority w:val="0"/>
    <w:rPr>
      <w:rFonts w:ascii="宋体" w:hAnsi="宋体" w:eastAsia="宋体" w:cs="Times New Roman"/>
      <w:bCs/>
      <w:sz w:val="21"/>
      <w:szCs w:val="28"/>
    </w:rPr>
  </w:style>
  <w:style w:type="character" w:customStyle="1" w:styleId="60">
    <w:name w:val="批注文字 字符"/>
    <w:basedOn w:val="18"/>
    <w:link w:val="5"/>
    <w:semiHidden/>
    <w:qFormat/>
    <w:uiPriority w:val="0"/>
  </w:style>
  <w:style w:type="character" w:customStyle="1" w:styleId="61">
    <w:name w:val="批注主题 字符"/>
    <w:basedOn w:val="60"/>
    <w:link w:val="15"/>
    <w:semiHidden/>
    <w:qFormat/>
    <w:uiPriority w:val="99"/>
    <w:rPr>
      <w:b/>
      <w:bCs/>
    </w:rPr>
  </w:style>
  <w:style w:type="paragraph" w:customStyle="1" w:styleId="62">
    <w:name w:val="defaul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3">
    <w:name w:val="4级标题"/>
    <w:basedOn w:val="31"/>
    <w:link w:val="64"/>
    <w:qFormat/>
    <w:uiPriority w:val="0"/>
    <w:pPr>
      <w:autoSpaceDE w:val="0"/>
      <w:autoSpaceDN w:val="0"/>
      <w:adjustRightInd w:val="0"/>
      <w:snapToGrid/>
      <w:ind w:left="-301" w:firstLine="442"/>
      <w:textAlignment w:val="auto"/>
      <w:outlineLvl w:val="3"/>
    </w:pPr>
    <w:rPr>
      <w:rFonts w:hAnsi="宋体"/>
      <w:snapToGrid/>
      <w:kern w:val="0"/>
      <w:szCs w:val="21"/>
    </w:rPr>
  </w:style>
  <w:style w:type="character" w:customStyle="1" w:styleId="64">
    <w:name w:val="4级标题 Char"/>
    <w:basedOn w:val="18"/>
    <w:link w:val="63"/>
    <w:qFormat/>
    <w:uiPriority w:val="0"/>
    <w:rPr>
      <w:rFonts w:ascii="Times New Roman" w:hAnsi="宋体" w:eastAsia="宋体" w:cs="Times New Roman"/>
      <w:sz w:val="21"/>
      <w:szCs w:val="21"/>
    </w:rPr>
  </w:style>
  <w:style w:type="character" w:customStyle="1" w:styleId="65">
    <w:name w:val="列表段落 字符"/>
    <w:basedOn w:val="18"/>
    <w:link w:val="52"/>
    <w:qFormat/>
    <w:uiPriority w:val="34"/>
    <w:rPr>
      <w:kern w:val="2"/>
      <w:sz w:val="21"/>
      <w:szCs w:val="22"/>
    </w:rPr>
  </w:style>
  <w:style w:type="character" w:customStyle="1" w:styleId="66">
    <w:name w:val="标题 2 Char"/>
    <w:basedOn w:val="18"/>
    <w:semiHidden/>
    <w:qFormat/>
    <w:uiPriority w:val="9"/>
    <w:rPr>
      <w:rFonts w:asciiTheme="majorHAnsi" w:hAnsiTheme="majorHAnsi" w:eastAsiaTheme="majorEastAsia" w:cstheme="majorBidi"/>
      <w:b/>
      <w:bCs/>
      <w:kern w:val="2"/>
      <w:sz w:val="32"/>
      <w:szCs w:val="32"/>
    </w:rPr>
  </w:style>
  <w:style w:type="character" w:customStyle="1" w:styleId="67">
    <w:name w:val="标题 2 字符"/>
    <w:link w:val="2"/>
    <w:qFormat/>
    <w:uiPriority w:val="0"/>
    <w:rPr>
      <w:rFonts w:ascii="Times New Roman" w:hAnsi="Times New Roman" w:eastAsia="黑体" w:cs="Times New Roman"/>
      <w:kern w:val="2"/>
      <w:sz w:val="32"/>
      <w:szCs w:val="32"/>
    </w:rPr>
  </w:style>
  <w:style w:type="paragraph" w:customStyle="1" w:styleId="68">
    <w:name w:val="样式1"/>
    <w:basedOn w:val="1"/>
    <w:qFormat/>
    <w:uiPriority w:val="0"/>
    <w:pPr>
      <w:numPr>
        <w:ilvl w:val="0"/>
        <w:numId w:val="3"/>
      </w:numPr>
      <w:jc w:val="center"/>
    </w:pPr>
    <w:rPr>
      <w:rFonts w:ascii="Times New Roman" w:hAnsi="Times New Roman" w:eastAsia="宋体" w:cs="Times New Roman"/>
      <w:szCs w:val="21"/>
    </w:rPr>
  </w:style>
  <w:style w:type="paragraph" w:customStyle="1" w:styleId="69">
    <w:name w:val="N01"/>
    <w:basedOn w:val="52"/>
    <w:qFormat/>
    <w:uiPriority w:val="0"/>
    <w:pPr>
      <w:widowControl/>
      <w:numPr>
        <w:ilvl w:val="0"/>
        <w:numId w:val="4"/>
      </w:numPr>
      <w:ind w:firstLineChars="0"/>
      <w:jc w:val="center"/>
      <w:outlineLvl w:val="0"/>
    </w:pPr>
    <w:rPr>
      <w:rFonts w:ascii="Times New Roman" w:hAnsi="Times New Roman" w:eastAsia="宋体"/>
      <w:b/>
      <w:sz w:val="30"/>
      <w:szCs w:val="21"/>
    </w:rPr>
  </w:style>
  <w:style w:type="paragraph" w:customStyle="1" w:styleId="70">
    <w:name w:val="N02"/>
    <w:basedOn w:val="52"/>
    <w:qFormat/>
    <w:uiPriority w:val="0"/>
    <w:pPr>
      <w:widowControl/>
      <w:numPr>
        <w:ilvl w:val="1"/>
        <w:numId w:val="4"/>
      </w:numPr>
      <w:ind w:firstLineChars="0"/>
      <w:contextualSpacing/>
      <w:jc w:val="center"/>
      <w:outlineLvl w:val="1"/>
    </w:pPr>
    <w:rPr>
      <w:rFonts w:ascii="Times New Roman" w:hAnsi="Times New Roman" w:eastAsia="宋体"/>
      <w:b/>
      <w:sz w:val="28"/>
      <w:szCs w:val="21"/>
    </w:rPr>
  </w:style>
  <w:style w:type="character" w:customStyle="1" w:styleId="71">
    <w:name w:val="N03 字符"/>
    <w:basedOn w:val="65"/>
    <w:link w:val="72"/>
    <w:qFormat/>
    <w:locked/>
    <w:uiPriority w:val="0"/>
    <w:rPr>
      <w:rFonts w:ascii="黑体" w:hAnsi="黑体" w:eastAsia="黑体"/>
      <w:b/>
      <w:color w:val="0000FF"/>
      <w:kern w:val="2"/>
      <w:sz w:val="22"/>
      <w:szCs w:val="22"/>
    </w:rPr>
  </w:style>
  <w:style w:type="paragraph" w:customStyle="1" w:styleId="72">
    <w:name w:val="N03"/>
    <w:basedOn w:val="52"/>
    <w:link w:val="71"/>
    <w:qFormat/>
    <w:uiPriority w:val="0"/>
    <w:pPr>
      <w:widowControl/>
      <w:numPr>
        <w:ilvl w:val="2"/>
        <w:numId w:val="4"/>
      </w:numPr>
      <w:spacing w:beforeLines="100" w:line="276" w:lineRule="auto"/>
      <w:ind w:firstLine="442" w:firstLineChars="0"/>
      <w:contextualSpacing/>
      <w:jc w:val="left"/>
      <w:outlineLvl w:val="2"/>
    </w:pPr>
    <w:rPr>
      <w:rFonts w:ascii="黑体" w:hAnsi="黑体" w:eastAsia="黑体"/>
      <w:b/>
      <w:color w:val="0000FF"/>
      <w:sz w:val="22"/>
    </w:rPr>
  </w:style>
  <w:style w:type="character" w:customStyle="1" w:styleId="73">
    <w:name w:val="N04 字符"/>
    <w:basedOn w:val="65"/>
    <w:link w:val="74"/>
    <w:qFormat/>
    <w:locked/>
    <w:uiPriority w:val="0"/>
    <w:rPr>
      <w:rFonts w:ascii="Times New Roman" w:hAnsi="Times New Roman" w:eastAsia="宋体" w:cs="Times New Roman"/>
      <w:color w:val="0000FF"/>
      <w:kern w:val="2"/>
      <w:sz w:val="22"/>
      <w:szCs w:val="22"/>
    </w:rPr>
  </w:style>
  <w:style w:type="paragraph" w:customStyle="1" w:styleId="74">
    <w:name w:val="N04"/>
    <w:basedOn w:val="52"/>
    <w:link w:val="73"/>
    <w:qFormat/>
    <w:uiPriority w:val="0"/>
    <w:pPr>
      <w:widowControl/>
      <w:numPr>
        <w:ilvl w:val="3"/>
        <w:numId w:val="4"/>
      </w:numPr>
      <w:tabs>
        <w:tab w:val="left" w:pos="709"/>
      </w:tabs>
      <w:spacing w:line="276" w:lineRule="auto"/>
      <w:ind w:left="0" w:firstLine="444" w:firstLineChars="202"/>
      <w:jc w:val="left"/>
    </w:pPr>
    <w:rPr>
      <w:rFonts w:ascii="Times New Roman" w:hAnsi="Times New Roman" w:eastAsia="宋体" w:cs="Times New Roman"/>
      <w:color w:val="0000FF"/>
      <w:sz w:val="22"/>
    </w:rPr>
  </w:style>
  <w:style w:type="character" w:customStyle="1" w:styleId="75">
    <w:name w:val="N05 字符"/>
    <w:basedOn w:val="65"/>
    <w:link w:val="76"/>
    <w:qFormat/>
    <w:locked/>
    <w:uiPriority w:val="0"/>
    <w:rPr>
      <w:rFonts w:ascii="Times New Roman" w:hAnsi="Times New Roman" w:eastAsia="宋体" w:cs="Times New Roman"/>
      <w:kern w:val="2"/>
      <w:sz w:val="21"/>
      <w:szCs w:val="21"/>
    </w:rPr>
  </w:style>
  <w:style w:type="paragraph" w:customStyle="1" w:styleId="76">
    <w:name w:val="N05"/>
    <w:basedOn w:val="52"/>
    <w:link w:val="75"/>
    <w:qFormat/>
    <w:uiPriority w:val="0"/>
    <w:pPr>
      <w:widowControl/>
      <w:numPr>
        <w:ilvl w:val="4"/>
        <w:numId w:val="4"/>
      </w:numPr>
      <w:ind w:firstLine="0" w:firstLineChars="0"/>
      <w:jc w:val="left"/>
    </w:pPr>
    <w:rPr>
      <w:rFonts w:ascii="Times New Roman" w:hAnsi="Times New Roman" w:eastAsia="宋体" w:cs="Times New Roman"/>
      <w:szCs w:val="21"/>
    </w:rPr>
  </w:style>
  <w:style w:type="character" w:customStyle="1" w:styleId="77">
    <w:name w:val="N06 字符"/>
    <w:basedOn w:val="65"/>
    <w:link w:val="78"/>
    <w:qFormat/>
    <w:locked/>
    <w:uiPriority w:val="0"/>
    <w:rPr>
      <w:rFonts w:ascii="Times New Roman" w:hAnsi="Times New Roman" w:eastAsia="宋体" w:cs="Times New Roman"/>
      <w:kern w:val="2"/>
      <w:sz w:val="21"/>
      <w:szCs w:val="21"/>
    </w:rPr>
  </w:style>
  <w:style w:type="paragraph" w:customStyle="1" w:styleId="78">
    <w:name w:val="N06"/>
    <w:basedOn w:val="52"/>
    <w:link w:val="77"/>
    <w:qFormat/>
    <w:uiPriority w:val="0"/>
    <w:pPr>
      <w:widowControl/>
      <w:numPr>
        <w:ilvl w:val="0"/>
        <w:numId w:val="5"/>
      </w:numPr>
      <w:ind w:firstLine="0" w:firstLineChars="0"/>
      <w:jc w:val="left"/>
    </w:pPr>
    <w:rPr>
      <w:rFonts w:ascii="Times New Roman" w:hAnsi="Times New Roman" w:eastAsia="宋体" w:cs="Times New Roman"/>
      <w:szCs w:val="21"/>
    </w:rPr>
  </w:style>
  <w:style w:type="paragraph" w:customStyle="1" w:styleId="79">
    <w:name w:val="N07"/>
    <w:basedOn w:val="52"/>
    <w:qFormat/>
    <w:uiPriority w:val="0"/>
    <w:pPr>
      <w:widowControl/>
      <w:numPr>
        <w:ilvl w:val="6"/>
        <w:numId w:val="4"/>
      </w:numPr>
      <w:ind w:firstLine="0" w:firstLineChars="0"/>
      <w:jc w:val="left"/>
    </w:pPr>
    <w:rPr>
      <w:rFonts w:ascii="Times New Roman" w:hAnsi="Times New Roman" w:eastAsia="宋体"/>
      <w:szCs w:val="21"/>
    </w:rPr>
  </w:style>
  <w:style w:type="character" w:customStyle="1" w:styleId="80">
    <w:name w:val="fontstyle01"/>
    <w:basedOn w:val="18"/>
    <w:qFormat/>
    <w:uiPriority w:val="0"/>
    <w:rPr>
      <w:rFonts w:hint="eastAsia" w:ascii="宋体" w:hAnsi="宋体" w:eastAsia="宋体" w:cs="宋体"/>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wmf"/><Relationship Id="rId17" Type="http://schemas.openxmlformats.org/officeDocument/2006/relationships/oleObject" Target="embeddings/oleObject3.bin"/><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oleObject" Target="embeddings/oleObject2.bin"/><Relationship Id="rId11" Type="http://schemas.openxmlformats.org/officeDocument/2006/relationships/image" Target="media/image3.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19771</Words>
  <Characters>20591</Characters>
  <Lines>234</Lines>
  <Paragraphs>65</Paragraphs>
  <TotalTime>0</TotalTime>
  <ScaleCrop>false</ScaleCrop>
  <LinksUpToDate>false</LinksUpToDate>
  <CharactersWithSpaces>20735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2024-07-18T17:54:00Z</dcterms:created>
  <dc:creator>饶慧</dc:creator>
  <cp:lastModifiedBy>晓颖</cp:lastModifiedBy>
  <cp:lastPrinted>2024-06-25T15:01:00Z</cp:lastPrinted>
  <dcterms:modified xsi:type="dcterms:W3CDTF">2025-02-21T03:10:58Z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AFB3D3080B1B4B2CA9F3666516697A8E</vt:lpwstr>
  </property>
  <property fmtid="{D5CDD505-2E9C-101B-9397-08002B2CF9AE}" pid="4" name="KSOTemplateDocerSaveRecord">
    <vt:lpwstr>eyJoZGlkIjoiZDU2MjE3NDdmZmEyYzU4ZTg4ZmY5M2IwMDEzY2IyMGIifQ==</vt:lpwstr>
  </property>
</Properties>
</file>