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szCs w:val="24"/>
        </w:rPr>
      </w:pPr>
      <w:bookmarkStart w:id="0" w:name="_1663765458"/>
      <w:bookmarkEnd w:id="0"/>
      <w:bookmarkStart w:id="1" w:name="_1663765504"/>
      <w:bookmarkEnd w:id="1"/>
      <w:r>
        <w:rPr>
          <w:color w:val="000000"/>
          <w:sz w:val="28"/>
          <w:szCs w:val="24"/>
        </w:rPr>
        <w:pict>
          <v:shape id="_x0000_i1025" o:spt="75" type="#_x0000_t75" style="height:696.25pt;width:448.3pt;" filled="f" o:preferrelative="t" stroked="f" coordsize="21600,21600">
            <v:path/>
            <v:fill on="f" focussize="0,0"/>
            <v:stroke on="f" joinstyle="miter"/>
            <v:imagedata r:id="rId8" o:title=""/>
            <o:lock v:ext="edit" aspectratio="t"/>
            <w10:wrap type="none"/>
            <w10:anchorlock/>
          </v:shape>
        </w:pict>
      </w:r>
    </w:p>
    <w:p>
      <w:pPr>
        <w:rPr>
          <w:color w:val="000000"/>
          <w:szCs w:val="21"/>
        </w:rPr>
        <w:sectPr>
          <w:footerReference r:id="rId6" w:type="first"/>
          <w:headerReference r:id="rId4" w:type="default"/>
          <w:footerReference r:id="rId5" w:type="default"/>
          <w:footnotePr>
            <w:numFmt w:val="decimalEnclosedCircleChinese"/>
            <w:numRestart w:val="eachPage"/>
          </w:footnotePr>
          <w:pgSz w:w="11906" w:h="16838"/>
          <w:pgMar w:top="1440" w:right="1800" w:bottom="1440" w:left="1800" w:header="851" w:footer="992" w:gutter="0"/>
          <w:cols w:space="720" w:num="1"/>
          <w:titlePg/>
          <w:docGrid w:type="lines" w:linePitch="312" w:charSpace="0"/>
        </w:sectPr>
      </w:pPr>
    </w:p>
    <w:p>
      <w:pPr>
        <w:adjustRightInd w:val="0"/>
        <w:snapToGrid w:val="0"/>
        <w:spacing w:line="460" w:lineRule="exact"/>
        <w:jc w:val="center"/>
        <w:rPr>
          <w:rFonts w:eastAsia="黑体"/>
          <w:color w:val="000000"/>
          <w:sz w:val="24"/>
          <w:szCs w:val="24"/>
        </w:rPr>
        <w:sectPr>
          <w:pgSz w:w="11906" w:h="16838"/>
          <w:pgMar w:top="1440" w:right="1800" w:bottom="1440" w:left="1800" w:header="851" w:footer="992" w:gutter="0"/>
          <w:pgNumType w:start="1"/>
          <w:cols w:space="425" w:num="1"/>
          <w:docGrid w:type="lines" w:linePitch="312" w:charSpace="0"/>
        </w:sectPr>
      </w:pPr>
    </w:p>
    <w:p>
      <w:pPr>
        <w:adjustRightInd w:val="0"/>
        <w:snapToGrid w:val="0"/>
        <w:spacing w:line="460" w:lineRule="exact"/>
        <w:jc w:val="center"/>
        <w:rPr>
          <w:rFonts w:eastAsia="黑体"/>
          <w:color w:val="000000"/>
          <w:sz w:val="32"/>
          <w:szCs w:val="32"/>
        </w:rPr>
      </w:pPr>
      <w:r>
        <w:rPr>
          <w:rFonts w:hint="eastAsia" w:eastAsia="黑体"/>
          <w:color w:val="000000"/>
          <w:sz w:val="32"/>
          <w:szCs w:val="32"/>
        </w:rPr>
        <w:t>目录</w:t>
      </w:r>
    </w:p>
    <w:sdt>
      <w:sdtPr>
        <w:rPr>
          <w:rFonts w:ascii="Times New Roman" w:hAnsi="Times New Roman" w:eastAsia="宋体" w:cs="Times New Roman"/>
          <w:color w:val="auto"/>
          <w:kern w:val="2"/>
          <w:sz w:val="21"/>
          <w:szCs w:val="20"/>
          <w:lang w:val="zh-CN"/>
        </w:rPr>
        <w:id w:val="24022471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pPr>
            <w:pStyle w:val="32"/>
          </w:pPr>
          <w:bookmarkStart w:id="2" w:name="_Toc533148168"/>
          <w:bookmarkStart w:id="3" w:name="_Toc50386746"/>
        </w:p>
        <w:p>
          <w:pPr>
            <w:pStyle w:val="12"/>
            <w:tabs>
              <w:tab w:val="right" w:leader="dot" w:pos="8296"/>
            </w:tabs>
            <w:rPr>
              <w:rFonts w:asciiTheme="minorHAnsi" w:hAnsiTheme="minorHAnsi" w:eastAsiaTheme="minorEastAsia" w:cstheme="minorBidi"/>
              <w:szCs w:val="22"/>
            </w:rPr>
          </w:pPr>
          <w:r>
            <w:fldChar w:fldCharType="begin"/>
          </w:r>
          <w:r>
            <w:instrText xml:space="preserve"> TOC \o "1-3" \h \z \u </w:instrText>
          </w:r>
          <w:r>
            <w:fldChar w:fldCharType="separate"/>
          </w:r>
          <w:r>
            <w:fldChar w:fldCharType="begin"/>
          </w:r>
          <w:r>
            <w:instrText xml:space="preserve"> HYPERLINK \l "_Toc70411329" </w:instrText>
          </w:r>
          <w:r>
            <w:fldChar w:fldCharType="separate"/>
          </w:r>
          <w:r>
            <w:rPr>
              <w:rStyle w:val="18"/>
            </w:rPr>
            <w:t>第1章  总则</w:t>
          </w:r>
          <w:r>
            <w:tab/>
          </w:r>
          <w:r>
            <w:fldChar w:fldCharType="begin"/>
          </w:r>
          <w:r>
            <w:instrText xml:space="preserve"> PAGEREF _Toc70411329 \h </w:instrText>
          </w:r>
          <w:r>
            <w:fldChar w:fldCharType="separate"/>
          </w:r>
          <w:r>
            <w:t>1</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"_Toc70411330" </w:instrText>
          </w:r>
          <w:r>
            <w:fldChar w:fldCharType="separate"/>
          </w:r>
          <w:r>
            <w:rPr>
              <w:rStyle w:val="18"/>
              <w:rFonts w:eastAsia="楷体"/>
              <w:snapToGrid w:val="0"/>
              <w:kern w:val="0"/>
            </w:rPr>
            <w:t>第1节  一般规定</w:t>
          </w:r>
          <w:r>
            <w:tab/>
          </w:r>
          <w:r>
            <w:fldChar w:fldCharType="begin"/>
          </w:r>
          <w:r>
            <w:instrText xml:space="preserve"> PAGEREF _Toc70411330 \h </w:instrText>
          </w:r>
          <w:r>
            <w:fldChar w:fldCharType="separate"/>
          </w:r>
          <w:r>
            <w:t>1</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"_Toc70411331" </w:instrText>
          </w:r>
          <w:r>
            <w:fldChar w:fldCharType="separate"/>
          </w:r>
          <w:r>
            <w:rPr>
              <w:rStyle w:val="18"/>
              <w:rFonts w:eastAsia="楷体"/>
              <w:snapToGrid w:val="0"/>
              <w:kern w:val="0"/>
            </w:rPr>
            <w:t>第2节  定义</w:t>
          </w:r>
          <w:r>
            <w:tab/>
          </w:r>
          <w:r>
            <w:fldChar w:fldCharType="begin"/>
          </w:r>
          <w:r>
            <w:instrText xml:space="preserve"> PAGEREF _Toc70411331 \h </w:instrText>
          </w:r>
          <w:r>
            <w:fldChar w:fldCharType="separate"/>
          </w:r>
          <w:r>
            <w:t>1</w:t>
          </w:r>
          <w:r>
            <w:fldChar w:fldCharType="end"/>
          </w:r>
          <w:r>
            <w:fldChar w:fldCharType="end"/>
          </w:r>
        </w:p>
        <w:p>
          <w:pPr>
            <w:pStyle w:val="12"/>
            <w:tabs>
              <w:tab w:val="right" w:leader="dot" w:pos="8296"/>
            </w:tabs>
            <w:rPr>
              <w:rFonts w:asciiTheme="minorHAnsi" w:hAnsiTheme="minorHAnsi" w:eastAsiaTheme="minorEastAsia" w:cstheme="minorBidi"/>
              <w:szCs w:val="22"/>
            </w:rPr>
          </w:pPr>
          <w:r>
            <w:fldChar w:fldCharType="begin"/>
          </w:r>
          <w:r>
            <w:instrText xml:space="preserve"> HYPERLINK \l "_Toc70411332" </w:instrText>
          </w:r>
          <w:r>
            <w:fldChar w:fldCharType="separate"/>
          </w:r>
          <w:r>
            <w:rPr>
              <w:rStyle w:val="18"/>
            </w:rPr>
            <w:t>第2章  检验与发证</w:t>
          </w:r>
          <w:r>
            <w:tab/>
          </w:r>
          <w:r>
            <w:fldChar w:fldCharType="begin"/>
          </w:r>
          <w:r>
            <w:instrText xml:space="preserve"> PAGEREF _Toc70411332 \h </w:instrText>
          </w:r>
          <w:r>
            <w:fldChar w:fldCharType="separate"/>
          </w:r>
          <w:r>
            <w:t>3</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"_Toc70411333" </w:instrText>
          </w:r>
          <w:r>
            <w:fldChar w:fldCharType="separate"/>
          </w:r>
          <w:r>
            <w:rPr>
              <w:rStyle w:val="18"/>
              <w:rFonts w:eastAsia="楷体"/>
              <w:snapToGrid w:val="0"/>
              <w:kern w:val="0"/>
            </w:rPr>
            <w:t>第1节  一般规定</w:t>
          </w:r>
          <w:r>
            <w:tab/>
          </w:r>
          <w:r>
            <w:fldChar w:fldCharType="begin"/>
          </w:r>
          <w:r>
            <w:instrText xml:space="preserve"> PAGEREF _Toc70411333 \h </w:instrText>
          </w:r>
          <w:r>
            <w:fldChar w:fldCharType="separate"/>
          </w:r>
          <w:r>
            <w:t>3</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"_Toc70411334" </w:instrText>
          </w:r>
          <w:r>
            <w:fldChar w:fldCharType="separate"/>
          </w:r>
          <w:r>
            <w:rPr>
              <w:rStyle w:val="18"/>
              <w:rFonts w:eastAsia="楷体"/>
              <w:snapToGrid w:val="0"/>
              <w:kern w:val="0"/>
            </w:rPr>
            <w:t>第2节  初次检验</w:t>
          </w:r>
          <w:r>
            <w:tab/>
          </w:r>
          <w:r>
            <w:fldChar w:fldCharType="begin"/>
          </w:r>
          <w:r>
            <w:instrText xml:space="preserve"> PAGEREF _Toc70411334 \h </w:instrText>
          </w:r>
          <w:r>
            <w:fldChar w:fldCharType="separate"/>
          </w:r>
          <w:r>
            <w:t>3</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"_Toc70411335" </w:instrText>
          </w:r>
          <w:r>
            <w:fldChar w:fldCharType="separate"/>
          </w:r>
          <w:r>
            <w:rPr>
              <w:rStyle w:val="18"/>
              <w:rFonts w:eastAsia="楷体"/>
              <w:snapToGrid w:val="0"/>
              <w:kern w:val="0"/>
            </w:rPr>
            <w:t>第3节  营运检验</w:t>
          </w:r>
          <w:r>
            <w:tab/>
          </w:r>
          <w:r>
            <w:fldChar w:fldCharType="begin"/>
          </w:r>
          <w:r>
            <w:instrText xml:space="preserve"> PAGEREF _Toc70411335 \h </w:instrText>
          </w:r>
          <w:r>
            <w:fldChar w:fldCharType="separate"/>
          </w:r>
          <w:r>
            <w:t>5</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"_Toc70411336" </w:instrText>
          </w:r>
          <w:r>
            <w:fldChar w:fldCharType="separate"/>
          </w:r>
          <w:r>
            <w:rPr>
              <w:rStyle w:val="18"/>
              <w:rFonts w:eastAsia="楷体"/>
              <w:snapToGrid w:val="0"/>
              <w:kern w:val="0"/>
            </w:rPr>
            <w:t>第4节  滚塑成型聚乙烯渔船型式检验</w:t>
          </w:r>
          <w:r>
            <w:tab/>
          </w:r>
          <w:r>
            <w:fldChar w:fldCharType="begin"/>
          </w:r>
          <w:r>
            <w:instrText xml:space="preserve"> PAGEREF _Toc70411336 \h </w:instrText>
          </w:r>
          <w:r>
            <w:fldChar w:fldCharType="separate"/>
          </w:r>
          <w:r>
            <w:t>5</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"_Toc70411337" </w:instrText>
          </w:r>
          <w:r>
            <w:fldChar w:fldCharType="separate"/>
          </w:r>
          <w:r>
            <w:rPr>
              <w:rStyle w:val="18"/>
              <w:rFonts w:eastAsia="楷体"/>
              <w:snapToGrid w:val="0"/>
              <w:kern w:val="0"/>
            </w:rPr>
            <w:t>第5节  证书</w:t>
          </w:r>
          <w:r>
            <w:tab/>
          </w:r>
          <w:r>
            <w:fldChar w:fldCharType="begin"/>
          </w:r>
          <w:r>
            <w:instrText xml:space="preserve"> PAGEREF _Toc70411337 \h </w:instrText>
          </w:r>
          <w:r>
            <w:fldChar w:fldCharType="separate"/>
          </w:r>
          <w:r>
            <w:t>6</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"_Toc70411338" </w:instrText>
          </w:r>
          <w:r>
            <w:fldChar w:fldCharType="separate"/>
          </w:r>
          <w:r>
            <w:rPr>
              <w:rStyle w:val="18"/>
              <w:rFonts w:eastAsia="楷体"/>
              <w:snapToGrid w:val="0"/>
              <w:kern w:val="0"/>
            </w:rPr>
            <w:t>第6节  图纸</w:t>
          </w:r>
          <w:r>
            <w:tab/>
          </w:r>
          <w:r>
            <w:fldChar w:fldCharType="begin"/>
          </w:r>
          <w:r>
            <w:instrText xml:space="preserve"> PAGEREF _Toc70411338 \h </w:instrText>
          </w:r>
          <w:r>
            <w:fldChar w:fldCharType="separate"/>
          </w:r>
          <w:r>
            <w:t>6</w:t>
          </w:r>
          <w:r>
            <w:fldChar w:fldCharType="end"/>
          </w:r>
          <w:r>
            <w:fldChar w:fldCharType="end"/>
          </w:r>
        </w:p>
        <w:p>
          <w:pPr>
            <w:pStyle w:val="12"/>
            <w:tabs>
              <w:tab w:val="right" w:leader="dot" w:pos="8296"/>
            </w:tabs>
            <w:rPr>
              <w:rFonts w:asciiTheme="minorHAnsi" w:hAnsiTheme="minorHAnsi" w:eastAsiaTheme="minorEastAsia" w:cstheme="minorBidi"/>
              <w:szCs w:val="22"/>
            </w:rPr>
          </w:pPr>
          <w:r>
            <w:fldChar w:fldCharType="begin"/>
          </w:r>
          <w:r>
            <w:instrText xml:space="preserve"> HYPERLINK \l "_Toc70411339" </w:instrText>
          </w:r>
          <w:r>
            <w:fldChar w:fldCharType="separate"/>
          </w:r>
          <w:r>
            <w:rPr>
              <w:rStyle w:val="18"/>
            </w:rPr>
            <w:t>第3章  材料与建造工艺</w:t>
          </w:r>
          <w:r>
            <w:tab/>
          </w:r>
          <w:r>
            <w:fldChar w:fldCharType="begin"/>
          </w:r>
          <w:r>
            <w:instrText xml:space="preserve"> PAGEREF _Toc70411339 \h </w:instrText>
          </w:r>
          <w:r>
            <w:fldChar w:fldCharType="separate"/>
          </w:r>
          <w:r>
            <w:t>7</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"_Toc70411340" </w:instrText>
          </w:r>
          <w:r>
            <w:fldChar w:fldCharType="separate"/>
          </w:r>
          <w:r>
            <w:rPr>
              <w:rStyle w:val="18"/>
              <w:rFonts w:eastAsia="楷体"/>
              <w:snapToGrid w:val="0"/>
              <w:kern w:val="0"/>
            </w:rPr>
            <w:t>第1节  一般规定</w:t>
          </w:r>
          <w:r>
            <w:tab/>
          </w:r>
          <w:r>
            <w:fldChar w:fldCharType="begin"/>
          </w:r>
          <w:r>
            <w:instrText xml:space="preserve"> PAGEREF _Toc70411340 \h </w:instrText>
          </w:r>
          <w:r>
            <w:fldChar w:fldCharType="separate"/>
          </w:r>
          <w:r>
            <w:t>7</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"_Toc70411341" </w:instrText>
          </w:r>
          <w:r>
            <w:fldChar w:fldCharType="separate"/>
          </w:r>
          <w:r>
            <w:rPr>
              <w:rStyle w:val="18"/>
              <w:rFonts w:eastAsia="楷体"/>
              <w:snapToGrid w:val="0"/>
              <w:kern w:val="0"/>
            </w:rPr>
            <w:t>第2节  材料</w:t>
          </w:r>
          <w:r>
            <w:tab/>
          </w:r>
          <w:r>
            <w:fldChar w:fldCharType="begin"/>
          </w:r>
          <w:r>
            <w:instrText xml:space="preserve"> PAGEREF _Toc70411341 \h </w:instrText>
          </w:r>
          <w:r>
            <w:fldChar w:fldCharType="separate"/>
          </w:r>
          <w:r>
            <w:t>7</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"_Toc70411342" </w:instrText>
          </w:r>
          <w:r>
            <w:fldChar w:fldCharType="separate"/>
          </w:r>
          <w:r>
            <w:rPr>
              <w:rStyle w:val="18"/>
              <w:rFonts w:eastAsia="楷体"/>
              <w:snapToGrid w:val="0"/>
              <w:kern w:val="0"/>
            </w:rPr>
            <w:t>第3节  建造工艺</w:t>
          </w:r>
          <w:r>
            <w:tab/>
          </w:r>
          <w:r>
            <w:fldChar w:fldCharType="begin"/>
          </w:r>
          <w:r>
            <w:instrText xml:space="preserve"> PAGEREF _Toc70411342 \h </w:instrText>
          </w:r>
          <w:r>
            <w:fldChar w:fldCharType="separate"/>
          </w:r>
          <w:r>
            <w:t>8</w:t>
          </w:r>
          <w:r>
            <w:fldChar w:fldCharType="end"/>
          </w:r>
          <w:r>
            <w:fldChar w:fldCharType="end"/>
          </w:r>
        </w:p>
        <w:p>
          <w:pPr>
            <w:pStyle w:val="12"/>
            <w:tabs>
              <w:tab w:val="right" w:leader="dot" w:pos="8296"/>
            </w:tabs>
            <w:rPr>
              <w:rFonts w:asciiTheme="minorHAnsi" w:hAnsiTheme="minorHAnsi" w:eastAsiaTheme="minorEastAsia" w:cstheme="minorBidi"/>
              <w:szCs w:val="22"/>
            </w:rPr>
          </w:pPr>
          <w:r>
            <w:fldChar w:fldCharType="begin"/>
          </w:r>
          <w:r>
            <w:instrText xml:space="preserve"> HYPERLINK \l "_Toc70411343" </w:instrText>
          </w:r>
          <w:r>
            <w:fldChar w:fldCharType="separate"/>
          </w:r>
          <w:r>
            <w:rPr>
              <w:rStyle w:val="18"/>
            </w:rPr>
            <w:t>第4章  船体结构</w:t>
          </w:r>
          <w:r>
            <w:tab/>
          </w:r>
          <w:r>
            <w:fldChar w:fldCharType="begin"/>
          </w:r>
          <w:r>
            <w:instrText xml:space="preserve"> PAGEREF _Toc70411343 \h </w:instrText>
          </w:r>
          <w:r>
            <w:fldChar w:fldCharType="separate"/>
          </w:r>
          <w:r>
            <w:t>11</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"_Toc70411344" </w:instrText>
          </w:r>
          <w:r>
            <w:fldChar w:fldCharType="separate"/>
          </w:r>
          <w:r>
            <w:rPr>
              <w:rStyle w:val="18"/>
              <w:rFonts w:eastAsia="楷体"/>
              <w:snapToGrid w:val="0"/>
              <w:kern w:val="0"/>
            </w:rPr>
            <w:t>第1节  一般规定</w:t>
          </w:r>
          <w:r>
            <w:tab/>
          </w:r>
          <w:r>
            <w:fldChar w:fldCharType="begin"/>
          </w:r>
          <w:r>
            <w:instrText xml:space="preserve"> PAGEREF _Toc70411344 \h </w:instrText>
          </w:r>
          <w:r>
            <w:fldChar w:fldCharType="separate"/>
          </w:r>
          <w:r>
            <w:t>11</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"_Toc70411345" </w:instrText>
          </w:r>
          <w:r>
            <w:fldChar w:fldCharType="separate"/>
          </w:r>
          <w:r>
            <w:rPr>
              <w:rStyle w:val="18"/>
              <w:rFonts w:eastAsia="楷体"/>
              <w:snapToGrid w:val="0"/>
              <w:kern w:val="0"/>
            </w:rPr>
            <w:t>第2节  总纵强度</w:t>
          </w:r>
          <w:r>
            <w:tab/>
          </w:r>
          <w:r>
            <w:fldChar w:fldCharType="begin"/>
          </w:r>
          <w:r>
            <w:instrText xml:space="preserve"> PAGEREF _Toc70411345 \h </w:instrText>
          </w:r>
          <w:r>
            <w:fldChar w:fldCharType="separate"/>
          </w:r>
          <w:r>
            <w:t>11</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"_Toc70411346" </w:instrText>
          </w:r>
          <w:r>
            <w:fldChar w:fldCharType="separate"/>
          </w:r>
          <w:r>
            <w:rPr>
              <w:rStyle w:val="18"/>
              <w:rFonts w:eastAsia="楷体"/>
              <w:snapToGrid w:val="0"/>
              <w:kern w:val="0"/>
            </w:rPr>
            <w:t>第3节  板及骨架</w:t>
          </w:r>
          <w:r>
            <w:tab/>
          </w:r>
          <w:r>
            <w:fldChar w:fldCharType="begin"/>
          </w:r>
          <w:r>
            <w:instrText xml:space="preserve"> PAGEREF _Toc70411346 \h </w:instrText>
          </w:r>
          <w:r>
            <w:fldChar w:fldCharType="separate"/>
          </w:r>
          <w:r>
            <w:t>12</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"_Toc70411347" </w:instrText>
          </w:r>
          <w:r>
            <w:fldChar w:fldCharType="separate"/>
          </w:r>
          <w:r>
            <w:rPr>
              <w:rStyle w:val="18"/>
              <w:rFonts w:eastAsia="楷体"/>
              <w:snapToGrid w:val="0"/>
              <w:kern w:val="0"/>
            </w:rPr>
            <w:t>第4节  龙骨</w:t>
          </w:r>
          <w:r>
            <w:tab/>
          </w:r>
          <w:r>
            <w:fldChar w:fldCharType="begin"/>
          </w:r>
          <w:r>
            <w:instrText xml:space="preserve"> PAGEREF _Toc70411347 \h </w:instrText>
          </w:r>
          <w:r>
            <w:fldChar w:fldCharType="separate"/>
          </w:r>
          <w:r>
            <w:t>15</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"_Toc70411348" </w:instrText>
          </w:r>
          <w:r>
            <w:fldChar w:fldCharType="separate"/>
          </w:r>
          <w:r>
            <w:rPr>
              <w:rStyle w:val="18"/>
              <w:rFonts w:eastAsia="楷体"/>
              <w:snapToGrid w:val="0"/>
              <w:kern w:val="0"/>
            </w:rPr>
            <w:t>第5节  主机基座</w:t>
          </w:r>
          <w:r>
            <w:tab/>
          </w:r>
          <w:r>
            <w:fldChar w:fldCharType="begin"/>
          </w:r>
          <w:r>
            <w:instrText xml:space="preserve"> PAGEREF _Toc70411348 \h </w:instrText>
          </w:r>
          <w:r>
            <w:fldChar w:fldCharType="separate"/>
          </w:r>
          <w:r>
            <w:t>15</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"_Toc70411349" </w:instrText>
          </w:r>
          <w:r>
            <w:fldChar w:fldCharType="separate"/>
          </w:r>
          <w:r>
            <w:rPr>
              <w:rStyle w:val="18"/>
              <w:rFonts w:eastAsia="楷体"/>
              <w:snapToGrid w:val="0"/>
              <w:kern w:val="0"/>
            </w:rPr>
            <w:t>第6节  局部加强</w:t>
          </w:r>
          <w:r>
            <w:tab/>
          </w:r>
          <w:r>
            <w:fldChar w:fldCharType="begin"/>
          </w:r>
          <w:r>
            <w:instrText xml:space="preserve"> PAGEREF _Toc70411349 \h </w:instrText>
          </w:r>
          <w:r>
            <w:fldChar w:fldCharType="separate"/>
          </w:r>
          <w:r>
            <w:t>15</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"_Toc70411350" </w:instrText>
          </w:r>
          <w:r>
            <w:fldChar w:fldCharType="separate"/>
          </w:r>
          <w:r>
            <w:rPr>
              <w:rStyle w:val="18"/>
              <w:rFonts w:eastAsia="楷体"/>
              <w:snapToGrid w:val="0"/>
              <w:kern w:val="0"/>
            </w:rPr>
            <w:t>第7节  滚塑成型结构的特殊要求</w:t>
          </w:r>
          <w:r>
            <w:tab/>
          </w:r>
          <w:r>
            <w:fldChar w:fldCharType="begin"/>
          </w:r>
          <w:r>
            <w:instrText xml:space="preserve"> PAGEREF _Toc70411350 \h </w:instrText>
          </w:r>
          <w:r>
            <w:fldChar w:fldCharType="separate"/>
          </w:r>
          <w:r>
            <w:t>15</w:t>
          </w:r>
          <w:r>
            <w:fldChar w:fldCharType="end"/>
          </w:r>
          <w:r>
            <w:fldChar w:fldCharType="end"/>
          </w:r>
        </w:p>
        <w:p>
          <w:pPr>
            <w:pStyle w:val="12"/>
            <w:tabs>
              <w:tab w:val="right" w:leader="dot" w:pos="8296"/>
            </w:tabs>
            <w:rPr>
              <w:rFonts w:asciiTheme="minorHAnsi" w:hAnsiTheme="minorHAnsi" w:eastAsiaTheme="minorEastAsia" w:cstheme="minorBidi"/>
              <w:szCs w:val="22"/>
            </w:rPr>
          </w:pPr>
          <w:r>
            <w:fldChar w:fldCharType="begin"/>
          </w:r>
          <w:r>
            <w:instrText xml:space="preserve"> HYPERLINK \l "_Toc70411351" </w:instrText>
          </w:r>
          <w:r>
            <w:fldChar w:fldCharType="separate"/>
          </w:r>
          <w:r>
            <w:rPr>
              <w:rStyle w:val="18"/>
            </w:rPr>
            <w:t>第5章  机械设备和电气设备</w:t>
          </w:r>
          <w:r>
            <w:tab/>
          </w:r>
          <w:r>
            <w:fldChar w:fldCharType="begin"/>
          </w:r>
          <w:r>
            <w:instrText xml:space="preserve"> PAGEREF _Toc70411351 \h </w:instrText>
          </w:r>
          <w:r>
            <w:fldChar w:fldCharType="separate"/>
          </w:r>
          <w:r>
            <w:t>16</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"_Toc70411352" </w:instrText>
          </w:r>
          <w:r>
            <w:fldChar w:fldCharType="separate"/>
          </w:r>
          <w:r>
            <w:rPr>
              <w:rStyle w:val="18"/>
              <w:rFonts w:eastAsia="楷体"/>
              <w:snapToGrid w:val="0"/>
              <w:kern w:val="0"/>
            </w:rPr>
            <w:t>第1节  一般规定</w:t>
          </w:r>
          <w:r>
            <w:tab/>
          </w:r>
          <w:r>
            <w:fldChar w:fldCharType="begin"/>
          </w:r>
          <w:r>
            <w:instrText xml:space="preserve"> PAGEREF _Toc70411352 \h </w:instrText>
          </w:r>
          <w:r>
            <w:fldChar w:fldCharType="separate"/>
          </w:r>
          <w:r>
            <w:t>16</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"_Toc70411353" </w:instrText>
          </w:r>
          <w:r>
            <w:fldChar w:fldCharType="separate"/>
          </w:r>
          <w:r>
            <w:rPr>
              <w:rStyle w:val="18"/>
              <w:rFonts w:eastAsia="楷体"/>
              <w:snapToGrid w:val="0"/>
              <w:kern w:val="0"/>
            </w:rPr>
            <w:t>第2节  座机船的机械设备</w:t>
          </w:r>
          <w:r>
            <w:tab/>
          </w:r>
          <w:r>
            <w:fldChar w:fldCharType="begin"/>
          </w:r>
          <w:r>
            <w:instrText xml:space="preserve"> PAGEREF _Toc70411353 \h </w:instrText>
          </w:r>
          <w:r>
            <w:fldChar w:fldCharType="separate"/>
          </w:r>
          <w:r>
            <w:t>16</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"_Toc70411354" </w:instrText>
          </w:r>
          <w:r>
            <w:fldChar w:fldCharType="separate"/>
          </w:r>
          <w:r>
            <w:rPr>
              <w:rStyle w:val="18"/>
              <w:rFonts w:eastAsia="楷体"/>
              <w:snapToGrid w:val="0"/>
              <w:kern w:val="0"/>
            </w:rPr>
            <w:t>第3节  挂桨（机）船的机械设备</w:t>
          </w:r>
          <w:r>
            <w:tab/>
          </w:r>
          <w:r>
            <w:fldChar w:fldCharType="begin"/>
          </w:r>
          <w:r>
            <w:instrText xml:space="preserve"> PAGEREF _Toc70411354 \h </w:instrText>
          </w:r>
          <w:r>
            <w:fldChar w:fldCharType="separate"/>
          </w:r>
          <w:r>
            <w:t>19</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"_Toc70411355" </w:instrText>
          </w:r>
          <w:r>
            <w:fldChar w:fldCharType="separate"/>
          </w:r>
          <w:r>
            <w:rPr>
              <w:rStyle w:val="18"/>
              <w:rFonts w:eastAsia="楷体"/>
              <w:snapToGrid w:val="0"/>
              <w:kern w:val="0"/>
            </w:rPr>
            <w:t>第4节  电气设备</w:t>
          </w:r>
          <w:r>
            <w:tab/>
          </w:r>
          <w:r>
            <w:fldChar w:fldCharType="begin"/>
          </w:r>
          <w:r>
            <w:instrText xml:space="preserve"> PAGEREF _Toc70411355 \h </w:instrText>
          </w:r>
          <w:r>
            <w:fldChar w:fldCharType="separate"/>
          </w:r>
          <w:r>
            <w:t>20</w:t>
          </w:r>
          <w:r>
            <w:fldChar w:fldCharType="end"/>
          </w:r>
          <w:r>
            <w:fldChar w:fldCharType="end"/>
          </w:r>
        </w:p>
        <w:p>
          <w:pPr>
            <w:pStyle w:val="12"/>
            <w:tabs>
              <w:tab w:val="right" w:leader="dot" w:pos="8296"/>
            </w:tabs>
            <w:rPr>
              <w:rFonts w:asciiTheme="minorHAnsi" w:hAnsiTheme="minorHAnsi" w:eastAsiaTheme="minorEastAsia" w:cstheme="minorBidi"/>
              <w:szCs w:val="22"/>
            </w:rPr>
          </w:pPr>
          <w:r>
            <w:fldChar w:fldCharType="begin"/>
          </w:r>
          <w:r>
            <w:instrText xml:space="preserve"> HYPERLINK \l "_Toc70411356" </w:instrText>
          </w:r>
          <w:r>
            <w:fldChar w:fldCharType="separate"/>
          </w:r>
          <w:r>
            <w:rPr>
              <w:rStyle w:val="18"/>
            </w:rPr>
            <w:t>第6章  载重线和完整稳性</w:t>
          </w:r>
          <w:r>
            <w:tab/>
          </w:r>
          <w:r>
            <w:fldChar w:fldCharType="begin"/>
          </w:r>
          <w:r>
            <w:instrText xml:space="preserve"> PAGEREF _Toc70411356 \h </w:instrText>
          </w:r>
          <w:r>
            <w:fldChar w:fldCharType="separate"/>
          </w:r>
          <w:r>
            <w:t>22</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"_Toc70411357" </w:instrText>
          </w:r>
          <w:r>
            <w:fldChar w:fldCharType="separate"/>
          </w:r>
          <w:r>
            <w:rPr>
              <w:rStyle w:val="18"/>
              <w:rFonts w:eastAsia="楷体"/>
              <w:snapToGrid w:val="0"/>
              <w:kern w:val="0"/>
            </w:rPr>
            <w:t>第1节  一般规定</w:t>
          </w:r>
          <w:r>
            <w:tab/>
          </w:r>
          <w:r>
            <w:fldChar w:fldCharType="begin"/>
          </w:r>
          <w:r>
            <w:instrText xml:space="preserve"> PAGEREF _Toc70411357 \h </w:instrText>
          </w:r>
          <w:r>
            <w:fldChar w:fldCharType="separate"/>
          </w:r>
          <w:r>
            <w:t>22</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"_Toc70411358" </w:instrText>
          </w:r>
          <w:r>
            <w:fldChar w:fldCharType="separate"/>
          </w:r>
          <w:r>
            <w:rPr>
              <w:rStyle w:val="18"/>
              <w:rFonts w:eastAsia="楷体"/>
              <w:snapToGrid w:val="0"/>
              <w:kern w:val="0"/>
            </w:rPr>
            <w:t>第2节  载重线</w:t>
          </w:r>
          <w:r>
            <w:tab/>
          </w:r>
          <w:r>
            <w:fldChar w:fldCharType="begin"/>
          </w:r>
          <w:r>
            <w:instrText xml:space="preserve"> PAGEREF _Toc70411358 \h </w:instrText>
          </w:r>
          <w:r>
            <w:fldChar w:fldCharType="separate"/>
          </w:r>
          <w:r>
            <w:t>22</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"_Toc70411359" </w:instrText>
          </w:r>
          <w:r>
            <w:fldChar w:fldCharType="separate"/>
          </w:r>
          <w:r>
            <w:rPr>
              <w:rStyle w:val="18"/>
              <w:rFonts w:eastAsia="楷体"/>
              <w:snapToGrid w:val="0"/>
              <w:kern w:val="0"/>
            </w:rPr>
            <w:t>第3节  完整稳性</w:t>
          </w:r>
          <w:r>
            <w:tab/>
          </w:r>
          <w:r>
            <w:fldChar w:fldCharType="begin"/>
          </w:r>
          <w:r>
            <w:instrText xml:space="preserve"> PAGEREF _Toc70411359 \h </w:instrText>
          </w:r>
          <w:r>
            <w:fldChar w:fldCharType="separate"/>
          </w:r>
          <w:r>
            <w:t>25</w:t>
          </w:r>
          <w:r>
            <w:fldChar w:fldCharType="end"/>
          </w:r>
          <w:r>
            <w:fldChar w:fldCharType="end"/>
          </w:r>
        </w:p>
        <w:p>
          <w:pPr>
            <w:pStyle w:val="12"/>
            <w:tabs>
              <w:tab w:val="right" w:leader="dot" w:pos="8296"/>
            </w:tabs>
            <w:rPr>
              <w:rFonts w:asciiTheme="minorHAnsi" w:hAnsiTheme="minorHAnsi" w:eastAsiaTheme="minorEastAsia" w:cstheme="minorBidi"/>
              <w:szCs w:val="22"/>
            </w:rPr>
          </w:pPr>
          <w:r>
            <w:fldChar w:fldCharType="begin"/>
          </w:r>
          <w:r>
            <w:instrText xml:space="preserve"> HYPERLINK \l "_Toc70411360" </w:instrText>
          </w:r>
          <w:r>
            <w:fldChar w:fldCharType="separate"/>
          </w:r>
          <w:r>
            <w:rPr>
              <w:rStyle w:val="18"/>
            </w:rPr>
            <w:t>第7章  船舶设备</w:t>
          </w:r>
          <w:r>
            <w:tab/>
          </w:r>
          <w:r>
            <w:fldChar w:fldCharType="begin"/>
          </w:r>
          <w:r>
            <w:instrText xml:space="preserve"> PAGEREF _Toc70411360 \h </w:instrText>
          </w:r>
          <w:r>
            <w:fldChar w:fldCharType="separate"/>
          </w:r>
          <w:r>
            <w:t>28</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"_Toc70411361" </w:instrText>
          </w:r>
          <w:r>
            <w:fldChar w:fldCharType="separate"/>
          </w:r>
          <w:r>
            <w:rPr>
              <w:rStyle w:val="18"/>
              <w:rFonts w:eastAsia="楷体"/>
              <w:snapToGrid w:val="0"/>
              <w:kern w:val="0"/>
            </w:rPr>
            <w:t>第1节  一般规定</w:t>
          </w:r>
          <w:r>
            <w:tab/>
          </w:r>
          <w:r>
            <w:fldChar w:fldCharType="begin"/>
          </w:r>
          <w:r>
            <w:instrText xml:space="preserve"> PAGEREF _Toc70411361 \h </w:instrText>
          </w:r>
          <w:r>
            <w:fldChar w:fldCharType="separate"/>
          </w:r>
          <w:r>
            <w:t>28</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"_Toc70411362" </w:instrText>
          </w:r>
          <w:r>
            <w:fldChar w:fldCharType="separate"/>
          </w:r>
          <w:r>
            <w:rPr>
              <w:rStyle w:val="18"/>
              <w:rFonts w:eastAsia="楷体"/>
              <w:snapToGrid w:val="0"/>
              <w:kern w:val="0"/>
            </w:rPr>
            <w:t>第2节  救生设备</w:t>
          </w:r>
          <w:r>
            <w:tab/>
          </w:r>
          <w:r>
            <w:fldChar w:fldCharType="begin"/>
          </w:r>
          <w:r>
            <w:instrText xml:space="preserve"> PAGEREF _Toc70411362 \h </w:instrText>
          </w:r>
          <w:r>
            <w:fldChar w:fldCharType="separate"/>
          </w:r>
          <w:r>
            <w:t>28</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"_Toc70411363" </w:instrText>
          </w:r>
          <w:r>
            <w:fldChar w:fldCharType="separate"/>
          </w:r>
          <w:r>
            <w:rPr>
              <w:rStyle w:val="18"/>
              <w:rFonts w:eastAsia="楷体"/>
              <w:snapToGrid w:val="0"/>
              <w:kern w:val="0"/>
            </w:rPr>
            <w:t>第3节  消防设备</w:t>
          </w:r>
          <w:r>
            <w:tab/>
          </w:r>
          <w:r>
            <w:fldChar w:fldCharType="begin"/>
          </w:r>
          <w:r>
            <w:instrText xml:space="preserve"> PAGEREF _Toc70411363 \h </w:instrText>
          </w:r>
          <w:r>
            <w:fldChar w:fldCharType="separate"/>
          </w:r>
          <w:r>
            <w:t>28</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"_Toc70411364" </w:instrText>
          </w:r>
          <w:r>
            <w:fldChar w:fldCharType="separate"/>
          </w:r>
          <w:r>
            <w:rPr>
              <w:rStyle w:val="18"/>
              <w:rFonts w:eastAsia="楷体"/>
              <w:snapToGrid w:val="0"/>
              <w:kern w:val="0"/>
            </w:rPr>
            <w:t>第4节  航行和信号设备</w:t>
          </w:r>
          <w:r>
            <w:tab/>
          </w:r>
          <w:r>
            <w:fldChar w:fldCharType="begin"/>
          </w:r>
          <w:r>
            <w:instrText xml:space="preserve"> PAGEREF _Toc70411364 \h </w:instrText>
          </w:r>
          <w:r>
            <w:fldChar w:fldCharType="separate"/>
          </w:r>
          <w:r>
            <w:t>29</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"_Toc70411365" </w:instrText>
          </w:r>
          <w:r>
            <w:fldChar w:fldCharType="separate"/>
          </w:r>
          <w:r>
            <w:rPr>
              <w:rStyle w:val="18"/>
              <w:rFonts w:eastAsia="楷体"/>
              <w:snapToGrid w:val="0"/>
              <w:kern w:val="0"/>
            </w:rPr>
            <w:t>第5节  无线电设备</w:t>
          </w:r>
          <w:r>
            <w:tab/>
          </w:r>
          <w:r>
            <w:fldChar w:fldCharType="begin"/>
          </w:r>
          <w:r>
            <w:instrText xml:space="preserve"> PAGEREF _Toc70411365 \h </w:instrText>
          </w:r>
          <w:r>
            <w:fldChar w:fldCharType="separate"/>
          </w:r>
          <w:r>
            <w:t>31</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"_Toc70411366" </w:instrText>
          </w:r>
          <w:r>
            <w:fldChar w:fldCharType="separate"/>
          </w:r>
          <w:r>
            <w:rPr>
              <w:rStyle w:val="18"/>
              <w:rFonts w:eastAsia="楷体"/>
              <w:snapToGrid w:val="0"/>
              <w:kern w:val="0"/>
            </w:rPr>
            <w:t>第6节  防止船舶造成水域污染</w:t>
          </w:r>
          <w:r>
            <w:tab/>
          </w:r>
          <w:r>
            <w:fldChar w:fldCharType="begin"/>
          </w:r>
          <w:r>
            <w:instrText xml:space="preserve"> PAGEREF _Toc70411366 \h </w:instrText>
          </w:r>
          <w:r>
            <w:fldChar w:fldCharType="separate"/>
          </w:r>
          <w:r>
            <w:t>31</w:t>
          </w:r>
          <w:r>
            <w:fldChar w:fldCharType="end"/>
          </w:r>
          <w:r>
            <w:fldChar w:fldCharType="end"/>
          </w:r>
        </w:p>
        <w:p>
          <w:r>
            <w:rPr>
              <w:b/>
              <w:bCs/>
              <w:lang w:val="zh-CN"/>
            </w:rPr>
            <w:fldChar w:fldCharType="end"/>
          </w:r>
        </w:p>
      </w:sdtContent>
    </w:sdt>
    <w:p>
      <w:pPr>
        <w:pStyle w:val="2"/>
        <w:autoSpaceDE w:val="0"/>
        <w:autoSpaceDN w:val="0"/>
        <w:snapToGrid/>
        <w:spacing w:before="240" w:after="240" w:line="240" w:lineRule="auto"/>
        <w:jc w:val="both"/>
        <w:textAlignment w:val="baseline"/>
        <w:rPr>
          <w:bCs w:val="0"/>
          <w:szCs w:val="20"/>
        </w:rPr>
        <w:sectPr>
          <w:pgSz w:w="11906" w:h="16838"/>
          <w:pgMar w:top="1440" w:right="1800" w:bottom="1440" w:left="1800" w:header="851" w:footer="992" w:gutter="0"/>
          <w:pgNumType w:start="0"/>
          <w:cols w:space="425" w:num="1"/>
          <w:titlePg/>
          <w:docGrid w:type="lines" w:linePitch="312" w:charSpace="0"/>
        </w:sectPr>
      </w:pPr>
    </w:p>
    <w:p>
      <w:pPr>
        <w:adjustRightInd w:val="0"/>
        <w:snapToGrid w:val="0"/>
        <w:ind w:firstLine="420" w:firstLineChars="200"/>
        <w:rPr>
          <w:szCs w:val="21"/>
        </w:rPr>
      </w:pPr>
    </w:p>
    <w:p>
      <w:pPr>
        <w:widowControl/>
        <w:jc w:val="left"/>
        <w:rPr>
          <w:rFonts w:eastAsia="黑体"/>
          <w:kern w:val="44"/>
          <w:sz w:val="32"/>
        </w:rPr>
      </w:pPr>
      <w:r>
        <w:rPr>
          <w:bCs/>
        </w:rPr>
        <w:br w:type="page"/>
      </w:r>
    </w:p>
    <w:p>
      <w:pPr>
        <w:adjustRightInd w:val="0"/>
        <w:snapToGrid w:val="0"/>
        <w:ind w:firstLine="420" w:firstLineChars="200"/>
        <w:rPr>
          <w:szCs w:val="21"/>
        </w:rPr>
      </w:pPr>
    </w:p>
    <w:p>
      <w:pPr>
        <w:pStyle w:val="2"/>
        <w:autoSpaceDE w:val="0"/>
        <w:autoSpaceDN w:val="0"/>
        <w:snapToGrid/>
        <w:spacing w:before="240" w:after="240" w:line="240" w:lineRule="auto"/>
        <w:textAlignment w:val="baseline"/>
        <w:rPr>
          <w:bCs w:val="0"/>
          <w:szCs w:val="20"/>
        </w:rPr>
      </w:pPr>
      <w:bookmarkStart w:id="4" w:name="_Toc70411329"/>
      <w:r>
        <w:rPr>
          <w:bCs w:val="0"/>
          <w:szCs w:val="20"/>
        </w:rPr>
        <w:t>第</w:t>
      </w:r>
      <w:r>
        <w:rPr>
          <w:rFonts w:hint="eastAsia"/>
          <w:bCs w:val="0"/>
          <w:szCs w:val="20"/>
        </w:rPr>
        <w:t>1章</w:t>
      </w:r>
      <w:r>
        <w:rPr>
          <w:bCs w:val="0"/>
          <w:szCs w:val="20"/>
        </w:rPr>
        <w:t xml:space="preserve">  总则</w:t>
      </w:r>
      <w:bookmarkEnd w:id="2"/>
      <w:bookmarkEnd w:id="3"/>
      <w:bookmarkEnd w:id="4"/>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5" w:name="_Toc48406188"/>
      <w:bookmarkStart w:id="6" w:name="_Toc48405884"/>
      <w:bookmarkStart w:id="7" w:name="_Toc48423017"/>
      <w:bookmarkStart w:id="8" w:name="_Toc50386747"/>
      <w:bookmarkStart w:id="9" w:name="_Toc70411330"/>
      <w:bookmarkStart w:id="10" w:name="_Toc529345741"/>
      <w:bookmarkStart w:id="11" w:name="_Toc529433957"/>
      <w:bookmarkStart w:id="12" w:name="_Toc530602718"/>
      <w:r>
        <w:rPr>
          <w:rFonts w:eastAsia="楷体"/>
          <w:b w:val="0"/>
          <w:bCs w:val="0"/>
          <w:snapToGrid w:val="0"/>
          <w:kern w:val="0"/>
          <w:sz w:val="28"/>
          <w:szCs w:val="20"/>
        </w:rPr>
        <w:t xml:space="preserve">第1节  </w:t>
      </w:r>
      <w:bookmarkEnd w:id="5"/>
      <w:bookmarkEnd w:id="6"/>
      <w:bookmarkEnd w:id="7"/>
      <w:bookmarkEnd w:id="8"/>
      <w:r>
        <w:rPr>
          <w:rFonts w:hint="eastAsia" w:eastAsia="楷体"/>
          <w:b w:val="0"/>
          <w:bCs w:val="0"/>
          <w:snapToGrid w:val="0"/>
          <w:kern w:val="0"/>
          <w:sz w:val="28"/>
          <w:szCs w:val="20"/>
        </w:rPr>
        <w:t>一般</w:t>
      </w:r>
      <w:r>
        <w:rPr>
          <w:rFonts w:eastAsia="楷体"/>
          <w:b w:val="0"/>
          <w:bCs w:val="0"/>
          <w:snapToGrid w:val="0"/>
          <w:kern w:val="0"/>
          <w:sz w:val="28"/>
          <w:szCs w:val="20"/>
        </w:rPr>
        <w:t>规定</w:t>
      </w:r>
      <w:bookmarkEnd w:id="9"/>
    </w:p>
    <w:bookmarkEnd w:id="10"/>
    <w:bookmarkEnd w:id="11"/>
    <w:bookmarkEnd w:id="12"/>
    <w:p>
      <w:pPr>
        <w:adjustRightInd w:val="0"/>
        <w:snapToGrid w:val="0"/>
        <w:ind w:firstLine="422" w:firstLineChars="200"/>
        <w:jc w:val="left"/>
        <w:rPr>
          <w:b/>
          <w:szCs w:val="21"/>
        </w:rPr>
      </w:pPr>
      <w:r>
        <w:rPr>
          <w:b/>
          <w:szCs w:val="21"/>
        </w:rPr>
        <w:t>1.1.</w:t>
      </w:r>
      <w:r>
        <w:rPr>
          <w:rFonts w:hint="eastAsia"/>
          <w:b/>
          <w:szCs w:val="21"/>
        </w:rPr>
        <w:t>1</w:t>
      </w:r>
      <w:r>
        <w:rPr>
          <w:b/>
          <w:szCs w:val="21"/>
        </w:rPr>
        <w:t xml:space="preserve">  </w:t>
      </w:r>
      <w:r>
        <w:rPr>
          <w:rFonts w:hint="eastAsia"/>
          <w:b/>
          <w:szCs w:val="21"/>
        </w:rPr>
        <w:t>目的</w:t>
      </w:r>
    </w:p>
    <w:p>
      <w:pPr>
        <w:adjustRightInd w:val="0"/>
        <w:snapToGrid w:val="0"/>
        <w:ind w:firstLine="420" w:firstLineChars="200"/>
        <w:rPr>
          <w:szCs w:val="21"/>
        </w:rPr>
      </w:pPr>
      <w:r>
        <w:rPr>
          <w:szCs w:val="21"/>
        </w:rPr>
        <w:t>1.1.</w:t>
      </w:r>
      <w:r>
        <w:rPr>
          <w:rFonts w:hint="eastAsia"/>
          <w:szCs w:val="21"/>
        </w:rPr>
        <w:t>1</w:t>
      </w:r>
      <w:r>
        <w:rPr>
          <w:szCs w:val="21"/>
        </w:rPr>
        <w:t>.</w:t>
      </w:r>
      <w:r>
        <w:rPr>
          <w:rFonts w:hint="eastAsia"/>
          <w:szCs w:val="21"/>
        </w:rPr>
        <w:t>1</w:t>
      </w:r>
      <w:r>
        <w:rPr>
          <w:szCs w:val="21"/>
        </w:rPr>
        <w:t xml:space="preserve">  为贯彻中华人民共和国相关法律和行政法规，保障水上人命财产安全、防止环境污染，确保</w:t>
      </w:r>
      <w:r>
        <w:rPr>
          <w:rFonts w:hint="eastAsia"/>
          <w:szCs w:val="21"/>
        </w:rPr>
        <w:t>渔</w:t>
      </w:r>
      <w:r>
        <w:rPr>
          <w:szCs w:val="21"/>
        </w:rPr>
        <w:t>船在其生命周期内持续符合安全和环保技术标准，</w:t>
      </w:r>
      <w:r>
        <w:t>制定《</w:t>
      </w:r>
      <w:r>
        <w:rPr>
          <w:rFonts w:hint="eastAsia"/>
        </w:rPr>
        <w:t>聚乙烯渔船技术与检验暂行规则</w:t>
      </w:r>
      <w:r>
        <w:t>）》</w:t>
      </w:r>
      <w:r>
        <w:rPr>
          <w:rFonts w:hint="eastAsia"/>
        </w:rPr>
        <w:t>（以下</w:t>
      </w:r>
      <w:r>
        <w:t>简称本暂行规则</w:t>
      </w:r>
      <w:r>
        <w:rPr>
          <w:rFonts w:hint="eastAsia"/>
        </w:rPr>
        <w:t>）。</w:t>
      </w:r>
    </w:p>
    <w:p>
      <w:pPr>
        <w:spacing w:line="320" w:lineRule="atLeast"/>
        <w:ind w:firstLine="420" w:firstLineChars="200"/>
        <w:rPr>
          <w:szCs w:val="21"/>
        </w:rPr>
      </w:pPr>
    </w:p>
    <w:p>
      <w:pPr>
        <w:adjustRightInd w:val="0"/>
        <w:snapToGrid w:val="0"/>
        <w:ind w:firstLine="422" w:firstLineChars="200"/>
        <w:jc w:val="left"/>
        <w:rPr>
          <w:b/>
          <w:szCs w:val="21"/>
        </w:rPr>
      </w:pPr>
      <w:r>
        <w:rPr>
          <w:b/>
          <w:szCs w:val="21"/>
        </w:rPr>
        <w:t xml:space="preserve">1.1.2  </w:t>
      </w:r>
      <w:r>
        <w:rPr>
          <w:rFonts w:hint="eastAsia"/>
          <w:b/>
          <w:szCs w:val="21"/>
        </w:rPr>
        <w:t>适用</w:t>
      </w:r>
      <w:r>
        <w:rPr>
          <w:b/>
          <w:szCs w:val="21"/>
        </w:rPr>
        <w:t>范围</w:t>
      </w:r>
    </w:p>
    <w:p>
      <w:pPr>
        <w:adjustRightInd w:val="0"/>
        <w:snapToGrid w:val="0"/>
        <w:ind w:firstLine="420" w:firstLineChars="200"/>
        <w:rPr>
          <w:szCs w:val="21"/>
        </w:rPr>
      </w:pPr>
      <w:r>
        <w:rPr>
          <w:szCs w:val="21"/>
        </w:rPr>
        <w:t>1.1.2.1  本暂行规则适用于在中华人民共和国登记或将登记</w:t>
      </w:r>
      <w:r>
        <w:rPr>
          <w:rFonts w:hint="eastAsia"/>
          <w:szCs w:val="21"/>
        </w:rPr>
        <w:t>的船长</w:t>
      </w:r>
      <w:r>
        <w:rPr>
          <w:szCs w:val="21"/>
        </w:rPr>
        <w:t>大于或等于5m渔船。其中</w:t>
      </w:r>
      <w:r>
        <w:rPr>
          <w:rFonts w:hint="eastAsia"/>
          <w:szCs w:val="21"/>
        </w:rPr>
        <w:t>滚塑成型</w:t>
      </w:r>
      <w:r>
        <w:rPr>
          <w:szCs w:val="21"/>
        </w:rPr>
        <w:t>的</w:t>
      </w:r>
      <w:r>
        <w:rPr>
          <w:rFonts w:hint="eastAsia"/>
          <w:szCs w:val="21"/>
        </w:rPr>
        <w:t>低密度、线性低密度聚乙烯渔船船长应</w:t>
      </w:r>
      <w:r>
        <w:rPr>
          <w:szCs w:val="21"/>
        </w:rPr>
        <w:t>小于</w:t>
      </w:r>
      <w:r>
        <w:rPr>
          <w:rFonts w:hint="eastAsia"/>
          <w:szCs w:val="21"/>
        </w:rPr>
        <w:t>12</w:t>
      </w:r>
      <w:r>
        <w:rPr>
          <w:szCs w:val="21"/>
        </w:rPr>
        <w:t>m</w:t>
      </w:r>
      <w:r>
        <w:rPr>
          <w:rFonts w:hint="eastAsia"/>
          <w:szCs w:val="21"/>
        </w:rPr>
        <w:t>，焊接成型</w:t>
      </w:r>
      <w:r>
        <w:rPr>
          <w:szCs w:val="21"/>
        </w:rPr>
        <w:t>的高密度聚乙烯渔船</w:t>
      </w:r>
      <w:r>
        <w:rPr>
          <w:rFonts w:hint="eastAsia"/>
          <w:szCs w:val="21"/>
        </w:rPr>
        <w:t>船长应</w:t>
      </w:r>
      <w:r>
        <w:rPr>
          <w:szCs w:val="21"/>
        </w:rPr>
        <w:t>小于</w:t>
      </w:r>
      <w:r>
        <w:rPr>
          <w:rFonts w:hint="eastAsia"/>
          <w:szCs w:val="21"/>
        </w:rPr>
        <w:t>或等于1</w:t>
      </w:r>
      <w:r>
        <w:rPr>
          <w:szCs w:val="21"/>
        </w:rPr>
        <w:t>6m</w:t>
      </w:r>
      <w:r>
        <w:rPr>
          <w:rFonts w:hint="eastAsia"/>
          <w:szCs w:val="21"/>
        </w:rPr>
        <w:t>。</w:t>
      </w:r>
    </w:p>
    <w:p>
      <w:pPr>
        <w:spacing w:line="320" w:lineRule="atLeast"/>
        <w:ind w:firstLine="420" w:firstLineChars="200"/>
        <w:rPr>
          <w:color w:val="2E75B6" w:themeColor="accent1" w:themeShade="BF"/>
        </w:rPr>
      </w:pPr>
    </w:p>
    <w:p>
      <w:pPr>
        <w:spacing w:line="320" w:lineRule="atLeast"/>
        <w:ind w:firstLine="422" w:firstLineChars="200"/>
        <w:rPr>
          <w:b/>
          <w:szCs w:val="21"/>
        </w:rPr>
      </w:pPr>
      <w:r>
        <w:rPr>
          <w:b/>
          <w:szCs w:val="21"/>
        </w:rPr>
        <w:t xml:space="preserve">1.1.3  </w:t>
      </w:r>
      <w:r>
        <w:rPr>
          <w:rFonts w:hint="eastAsia"/>
          <w:b/>
          <w:szCs w:val="21"/>
        </w:rPr>
        <w:t>生效</w:t>
      </w:r>
      <w:r>
        <w:rPr>
          <w:b/>
          <w:szCs w:val="21"/>
        </w:rPr>
        <w:t>与适用</w:t>
      </w:r>
    </w:p>
    <w:p>
      <w:pPr>
        <w:ind w:firstLine="420" w:firstLineChars="200"/>
        <w:jc w:val="left"/>
        <w:rPr>
          <w:rFonts w:cs="宋体"/>
          <w:szCs w:val="21"/>
        </w:rPr>
      </w:pPr>
      <w:r>
        <w:rPr>
          <w:szCs w:val="21"/>
        </w:rPr>
        <w:t xml:space="preserve">1.1.3.1  </w:t>
      </w:r>
      <w:r>
        <w:rPr>
          <w:rFonts w:hint="eastAsia" w:cs="宋体"/>
          <w:szCs w:val="21"/>
        </w:rPr>
        <w:t>聚乙烯渔船</w:t>
      </w:r>
      <w:r>
        <w:rPr>
          <w:rFonts w:cs="宋体"/>
          <w:szCs w:val="21"/>
        </w:rPr>
        <w:t>的设计、</w:t>
      </w:r>
      <w:r>
        <w:rPr>
          <w:rFonts w:hint="eastAsia" w:cs="宋体"/>
          <w:szCs w:val="21"/>
        </w:rPr>
        <w:t>制造</w:t>
      </w:r>
      <w:r>
        <w:rPr>
          <w:rFonts w:cs="宋体"/>
          <w:szCs w:val="21"/>
        </w:rPr>
        <w:t>、营运、</w:t>
      </w:r>
      <w:r>
        <w:rPr>
          <w:rFonts w:hint="eastAsia" w:cs="宋体"/>
          <w:szCs w:val="21"/>
        </w:rPr>
        <w:t>检验</w:t>
      </w:r>
      <w:r>
        <w:rPr>
          <w:rFonts w:cs="宋体"/>
          <w:szCs w:val="21"/>
        </w:rPr>
        <w:t>、检测应符合本暂行规则相关规定。</w:t>
      </w:r>
    </w:p>
    <w:p>
      <w:pPr>
        <w:ind w:firstLine="420" w:firstLineChars="200"/>
        <w:jc w:val="left"/>
        <w:rPr>
          <w:szCs w:val="21"/>
        </w:rPr>
      </w:pPr>
      <w:r>
        <w:rPr>
          <w:szCs w:val="21"/>
        </w:rPr>
        <w:t>1.1.3.2  本暂行规则生效日期标注在</w:t>
      </w:r>
      <w:r>
        <w:rPr>
          <w:rFonts w:hint="eastAsia"/>
          <w:szCs w:val="21"/>
        </w:rPr>
        <w:t>规则</w:t>
      </w:r>
      <w:r>
        <w:rPr>
          <w:szCs w:val="21"/>
        </w:rPr>
        <w:t>的首页上，但另有指明者除外。</w:t>
      </w:r>
    </w:p>
    <w:p>
      <w:pPr>
        <w:ind w:firstLine="420" w:firstLineChars="200"/>
        <w:jc w:val="left"/>
        <w:rPr>
          <w:rFonts w:cs="宋体"/>
          <w:szCs w:val="21"/>
        </w:rPr>
      </w:pPr>
      <w:r>
        <w:rPr>
          <w:szCs w:val="21"/>
        </w:rPr>
        <w:t xml:space="preserve">1.1.3.3  </w:t>
      </w:r>
      <w:r>
        <w:rPr>
          <w:rFonts w:hint="eastAsia"/>
          <w:szCs w:val="21"/>
        </w:rPr>
        <w:t>除</w:t>
      </w:r>
      <w:r>
        <w:rPr>
          <w:szCs w:val="21"/>
        </w:rPr>
        <w:t>另有规定外，对本暂行规则</w:t>
      </w:r>
      <w:r>
        <w:rPr>
          <w:rFonts w:hint="eastAsia"/>
          <w:szCs w:val="21"/>
        </w:rPr>
        <w:t>及其修改</w:t>
      </w:r>
      <w:r>
        <w:rPr>
          <w:szCs w:val="21"/>
        </w:rPr>
        <w:t>通报适用于1.1.3.2</w:t>
      </w:r>
      <w:r>
        <w:rPr>
          <w:rFonts w:hint="eastAsia"/>
          <w:szCs w:val="21"/>
        </w:rPr>
        <w:t>生效</w:t>
      </w:r>
      <w:r>
        <w:rPr>
          <w:szCs w:val="21"/>
        </w:rPr>
        <w:t>之日或以后建造的</w:t>
      </w:r>
      <w:r>
        <w:rPr>
          <w:rFonts w:hint="eastAsia"/>
          <w:szCs w:val="21"/>
        </w:rPr>
        <w:t>聚乙烯渔船</w:t>
      </w:r>
      <w:r>
        <w:rPr>
          <w:rFonts w:cs="宋体"/>
          <w:szCs w:val="21"/>
        </w:rPr>
        <w:t>。</w:t>
      </w:r>
    </w:p>
    <w:p>
      <w:pPr>
        <w:spacing w:line="320" w:lineRule="atLeast"/>
        <w:ind w:firstLine="420" w:firstLineChars="200"/>
        <w:rPr>
          <w:szCs w:val="21"/>
        </w:rPr>
      </w:pPr>
    </w:p>
    <w:p>
      <w:pPr>
        <w:spacing w:line="320" w:lineRule="atLeast"/>
        <w:ind w:firstLine="422" w:firstLineChars="200"/>
        <w:rPr>
          <w:b/>
          <w:szCs w:val="21"/>
        </w:rPr>
      </w:pPr>
      <w:r>
        <w:rPr>
          <w:b/>
          <w:szCs w:val="21"/>
        </w:rPr>
        <w:t xml:space="preserve">1.1.4  </w:t>
      </w:r>
      <w:r>
        <w:rPr>
          <w:rFonts w:hint="eastAsia"/>
          <w:b/>
          <w:szCs w:val="21"/>
        </w:rPr>
        <w:t>等效</w:t>
      </w:r>
    </w:p>
    <w:p>
      <w:pPr>
        <w:spacing w:line="320" w:lineRule="atLeast"/>
        <w:ind w:firstLine="420" w:firstLineChars="200"/>
        <w:rPr>
          <w:szCs w:val="21"/>
        </w:rPr>
      </w:pPr>
      <w:r>
        <w:rPr>
          <w:szCs w:val="21"/>
        </w:rPr>
        <w:t xml:space="preserve">1.1.4.1  </w:t>
      </w:r>
      <w:r>
        <w:rPr>
          <w:rFonts w:hint="eastAsia"/>
          <w:szCs w:val="21"/>
        </w:rPr>
        <w:t>对本暂行规则要求船上所应装设或配备的专门装置、材料、设备或器具，或其型式，或本暂行规则要求应设置的任何专门设施，本局可准许该船上装设或配备任何其他的装置、材料、设备或器具，或其型式，或设置任何其他的设施，但应通过试验或其他方法认定这些装置、材料、设备或器具，或其型式，或其他设施，至少与本暂行规则所要求者具有同等效能。</w:t>
      </w:r>
    </w:p>
    <w:p>
      <w:pPr>
        <w:spacing w:line="320" w:lineRule="atLeast"/>
        <w:ind w:firstLine="420" w:firstLineChars="200"/>
        <w:rPr>
          <w:szCs w:val="21"/>
        </w:rPr>
      </w:pPr>
      <w:r>
        <w:rPr>
          <w:szCs w:val="21"/>
        </w:rPr>
        <w:t xml:space="preserve">1.1.4.2  </w:t>
      </w:r>
      <w:r>
        <w:rPr>
          <w:rFonts w:hint="eastAsia"/>
          <w:szCs w:val="21"/>
        </w:rPr>
        <w:t>可准许本暂行规则要求之外的</w:t>
      </w:r>
      <w:r>
        <w:rPr>
          <w:szCs w:val="21"/>
        </w:rPr>
        <w:t>新能源的应用，</w:t>
      </w:r>
      <w:r>
        <w:rPr>
          <w:rFonts w:hint="eastAsia"/>
          <w:szCs w:val="21"/>
        </w:rPr>
        <w:t>但应</w:t>
      </w:r>
      <w:r>
        <w:rPr>
          <w:szCs w:val="21"/>
        </w:rPr>
        <w:t>经</w:t>
      </w:r>
      <w:r>
        <w:rPr>
          <w:rFonts w:hint="eastAsia"/>
          <w:szCs w:val="21"/>
        </w:rPr>
        <w:t>船舶检验机构</w:t>
      </w:r>
      <w:r>
        <w:rPr>
          <w:szCs w:val="21"/>
        </w:rPr>
        <w:t>评估认为</w:t>
      </w:r>
      <w:r>
        <w:rPr>
          <w:rFonts w:hint="eastAsia"/>
          <w:szCs w:val="21"/>
        </w:rPr>
        <w:t>其</w:t>
      </w:r>
      <w:r>
        <w:rPr>
          <w:szCs w:val="21"/>
        </w:rPr>
        <w:t>安全与环保水平不低于</w:t>
      </w:r>
      <w:r>
        <w:rPr>
          <w:rFonts w:hint="eastAsia"/>
          <w:szCs w:val="21"/>
        </w:rPr>
        <w:t>本暂行规则要求，并经本局同意。</w:t>
      </w:r>
    </w:p>
    <w:p>
      <w:pPr>
        <w:spacing w:line="320" w:lineRule="atLeast"/>
        <w:ind w:firstLine="420" w:firstLineChars="200"/>
        <w:rPr>
          <w:szCs w:val="21"/>
        </w:rPr>
      </w:pPr>
    </w:p>
    <w:p>
      <w:pPr>
        <w:spacing w:line="320" w:lineRule="atLeast"/>
        <w:ind w:firstLine="422" w:firstLineChars="200"/>
        <w:rPr>
          <w:b/>
          <w:szCs w:val="21"/>
        </w:rPr>
      </w:pPr>
      <w:r>
        <w:rPr>
          <w:b/>
          <w:szCs w:val="21"/>
        </w:rPr>
        <w:t xml:space="preserve">1.1.5  </w:t>
      </w:r>
      <w:r>
        <w:rPr>
          <w:rFonts w:hint="eastAsia"/>
          <w:b/>
          <w:szCs w:val="21"/>
        </w:rPr>
        <w:t>解释</w:t>
      </w:r>
    </w:p>
    <w:p>
      <w:pPr>
        <w:spacing w:line="320" w:lineRule="atLeast"/>
        <w:ind w:firstLine="420" w:firstLineChars="200"/>
        <w:rPr>
          <w:szCs w:val="21"/>
        </w:rPr>
      </w:pPr>
      <w:r>
        <w:rPr>
          <w:szCs w:val="21"/>
        </w:rPr>
        <w:t>1.1.5.1  本暂行规则</w:t>
      </w:r>
      <w:r>
        <w:rPr>
          <w:rFonts w:hint="eastAsia"/>
          <w:szCs w:val="21"/>
        </w:rPr>
        <w:t>由本局负责解释</w:t>
      </w:r>
      <w:r>
        <w:rPr>
          <w:szCs w:val="21"/>
        </w:rPr>
        <w:t>。</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13" w:name="_Toc50386748"/>
      <w:bookmarkStart w:id="14" w:name="_Toc70411331"/>
      <w:r>
        <w:rPr>
          <w:rFonts w:eastAsia="楷体"/>
          <w:b w:val="0"/>
          <w:bCs w:val="0"/>
          <w:snapToGrid w:val="0"/>
          <w:kern w:val="0"/>
          <w:sz w:val="28"/>
          <w:szCs w:val="20"/>
        </w:rPr>
        <w:t xml:space="preserve">第2节  </w:t>
      </w:r>
      <w:r>
        <w:rPr>
          <w:rFonts w:hint="eastAsia" w:eastAsia="楷体"/>
          <w:b w:val="0"/>
          <w:bCs w:val="0"/>
          <w:snapToGrid w:val="0"/>
          <w:kern w:val="0"/>
          <w:sz w:val="28"/>
          <w:szCs w:val="20"/>
        </w:rPr>
        <w:t>定义</w:t>
      </w:r>
      <w:bookmarkEnd w:id="13"/>
      <w:bookmarkEnd w:id="14"/>
    </w:p>
    <w:p>
      <w:pPr>
        <w:ind w:firstLine="420" w:firstLineChars="200"/>
        <w:jc w:val="left"/>
        <w:rPr>
          <w:szCs w:val="21"/>
        </w:rPr>
      </w:pPr>
      <w:r>
        <w:rPr>
          <w:rFonts w:hint="eastAsia"/>
          <w:szCs w:val="21"/>
        </w:rPr>
        <w:t>1.</w:t>
      </w:r>
      <w:r>
        <w:rPr>
          <w:szCs w:val="21"/>
        </w:rPr>
        <w:t>2</w:t>
      </w:r>
      <w:r>
        <w:rPr>
          <w:rFonts w:hint="eastAsia"/>
          <w:szCs w:val="21"/>
        </w:rPr>
        <w:t xml:space="preserve">.1 </w:t>
      </w:r>
      <w:r>
        <w:rPr>
          <w:szCs w:val="21"/>
        </w:rPr>
        <w:t xml:space="preserve"> 渔船</w:t>
      </w:r>
      <w:r>
        <w:rPr>
          <w:rFonts w:hint="eastAsia"/>
          <w:szCs w:val="21"/>
        </w:rPr>
        <w:t>：</w:t>
      </w:r>
      <w:r>
        <w:rPr>
          <w:szCs w:val="21"/>
        </w:rPr>
        <w:t>系指直接从事捕捞鱼类或其他水生生物资源的船舶。</w:t>
      </w:r>
    </w:p>
    <w:p>
      <w:pPr>
        <w:adjustRightInd w:val="0"/>
        <w:snapToGrid w:val="0"/>
        <w:ind w:firstLine="420" w:firstLineChars="200"/>
        <w:jc w:val="left"/>
        <w:rPr>
          <w:szCs w:val="21"/>
        </w:rPr>
      </w:pPr>
      <w:r>
        <w:rPr>
          <w:rFonts w:hint="eastAsia"/>
          <w:szCs w:val="21"/>
        </w:rPr>
        <w:t>1.</w:t>
      </w:r>
      <w:r>
        <w:rPr>
          <w:szCs w:val="21"/>
        </w:rPr>
        <w:t>2</w:t>
      </w:r>
      <w:r>
        <w:rPr>
          <w:rFonts w:hint="eastAsia"/>
          <w:szCs w:val="21"/>
        </w:rPr>
        <w:t>.</w:t>
      </w:r>
      <w:r>
        <w:rPr>
          <w:szCs w:val="21"/>
        </w:rPr>
        <w:t>2</w:t>
      </w:r>
      <w:r>
        <w:rPr>
          <w:rFonts w:hint="eastAsia"/>
          <w:szCs w:val="21"/>
        </w:rPr>
        <w:t xml:space="preserve"> </w:t>
      </w:r>
      <w:r>
        <w:rPr>
          <w:szCs w:val="21"/>
        </w:rPr>
        <w:t xml:space="preserve"> </w:t>
      </w:r>
      <w:r>
        <w:rPr>
          <w:rFonts w:hint="eastAsia"/>
          <w:szCs w:val="21"/>
        </w:rPr>
        <w:t>聚乙烯渔船：船体材料采用聚乙烯粉料、混配料或型材，通过滚塑成型或</w:t>
      </w:r>
      <w:r>
        <w:rPr>
          <w:szCs w:val="21"/>
        </w:rPr>
        <w:t>焊接</w:t>
      </w:r>
      <w:r>
        <w:rPr>
          <w:rFonts w:hint="eastAsia"/>
          <w:szCs w:val="21"/>
        </w:rPr>
        <w:t>工艺过程建造成的渔船。</w:t>
      </w:r>
    </w:p>
    <w:p>
      <w:pPr>
        <w:ind w:firstLine="420" w:firstLineChars="200"/>
        <w:jc w:val="left"/>
        <w:rPr>
          <w:szCs w:val="21"/>
        </w:rPr>
      </w:pPr>
      <w:r>
        <w:rPr>
          <w:rFonts w:hint="eastAsia"/>
          <w:szCs w:val="21"/>
        </w:rPr>
        <w:t>1.</w:t>
      </w:r>
      <w:r>
        <w:rPr>
          <w:szCs w:val="21"/>
        </w:rPr>
        <w:t>2</w:t>
      </w:r>
      <w:r>
        <w:rPr>
          <w:rFonts w:hint="eastAsia"/>
          <w:szCs w:val="21"/>
        </w:rPr>
        <w:t>.</w:t>
      </w:r>
      <w:r>
        <w:rPr>
          <w:szCs w:val="21"/>
        </w:rPr>
        <w:t>3</w:t>
      </w:r>
      <w:r>
        <w:rPr>
          <w:rFonts w:hint="eastAsia"/>
          <w:szCs w:val="21"/>
        </w:rPr>
        <w:t xml:space="preserve"> </w:t>
      </w:r>
      <w:r>
        <w:rPr>
          <w:szCs w:val="21"/>
        </w:rPr>
        <w:t xml:space="preserve"> </w:t>
      </w:r>
      <w:r>
        <w:rPr>
          <w:rFonts w:hint="eastAsia"/>
          <w:szCs w:val="21"/>
        </w:rPr>
        <w:t>船长</w:t>
      </w:r>
      <w:r>
        <w:rPr>
          <w:rFonts w:hint="eastAsia"/>
          <w:i/>
          <w:szCs w:val="21"/>
        </w:rPr>
        <w:t>L</w:t>
      </w:r>
      <w:r>
        <w:rPr>
          <w:rFonts w:hint="eastAsia"/>
          <w:szCs w:val="21"/>
        </w:rPr>
        <w:t>（m）：系指沿船舶</w:t>
      </w:r>
      <w:r>
        <w:rPr>
          <w:szCs w:val="21"/>
        </w:rPr>
        <w:t>最小型深的</w:t>
      </w:r>
      <w:r>
        <w:rPr>
          <w:rFonts w:hint="eastAsia"/>
          <w:szCs w:val="21"/>
        </w:rPr>
        <w:t>85</w:t>
      </w:r>
      <w:r>
        <w:rPr>
          <w:szCs w:val="21"/>
        </w:rPr>
        <w:t>%处水线长，</w:t>
      </w:r>
      <w:r>
        <w:rPr>
          <w:rFonts w:hint="eastAsia"/>
          <w:szCs w:val="21"/>
        </w:rPr>
        <w:t>船舶满载水线由艏柱前缘量至舵杆中心线的长度；对挂桨（机）船、无舵船或舵在舷外船按该水线长的</w:t>
      </w:r>
      <w:r>
        <w:rPr>
          <w:szCs w:val="21"/>
        </w:rPr>
        <w:t>100%</w:t>
      </w:r>
      <w:r>
        <w:rPr>
          <w:rFonts w:hint="eastAsia"/>
          <w:szCs w:val="21"/>
        </w:rPr>
        <w:t>计取。此</w:t>
      </w:r>
      <w:r>
        <w:rPr>
          <w:szCs w:val="21"/>
        </w:rPr>
        <w:t>长度应包括船壳板的厚度</w:t>
      </w:r>
      <w:r>
        <w:rPr>
          <w:rFonts w:hint="eastAsia"/>
          <w:szCs w:val="21"/>
        </w:rPr>
        <w:t>。</w:t>
      </w:r>
    </w:p>
    <w:p>
      <w:pPr>
        <w:ind w:firstLine="420" w:firstLineChars="200"/>
        <w:jc w:val="left"/>
        <w:rPr>
          <w:szCs w:val="21"/>
        </w:rPr>
      </w:pPr>
      <w:r>
        <w:rPr>
          <w:rFonts w:hint="eastAsia"/>
          <w:szCs w:val="21"/>
        </w:rPr>
        <w:t>1.</w:t>
      </w:r>
      <w:r>
        <w:rPr>
          <w:szCs w:val="21"/>
        </w:rPr>
        <w:t>2</w:t>
      </w:r>
      <w:r>
        <w:rPr>
          <w:rFonts w:hint="eastAsia"/>
          <w:szCs w:val="21"/>
        </w:rPr>
        <w:t>.</w:t>
      </w:r>
      <w:r>
        <w:rPr>
          <w:szCs w:val="21"/>
        </w:rPr>
        <w:t>4</w:t>
      </w:r>
      <w:r>
        <w:rPr>
          <w:rFonts w:hint="eastAsia"/>
          <w:szCs w:val="21"/>
        </w:rPr>
        <w:t xml:space="preserve">  船宽</w:t>
      </w:r>
      <w:r>
        <w:rPr>
          <w:rFonts w:hint="eastAsia"/>
          <w:i/>
          <w:szCs w:val="21"/>
        </w:rPr>
        <w:t>B</w:t>
      </w:r>
      <w:r>
        <w:rPr>
          <w:rFonts w:hint="eastAsia"/>
          <w:szCs w:val="21"/>
        </w:rPr>
        <w:t>（m）：包括船壳板在内最大宽度，舷伸甲板宽度不计入。</w:t>
      </w:r>
    </w:p>
    <w:p>
      <w:pPr>
        <w:ind w:firstLine="420" w:firstLineChars="200"/>
        <w:jc w:val="left"/>
        <w:rPr>
          <w:szCs w:val="21"/>
        </w:rPr>
      </w:pPr>
      <w:r>
        <w:rPr>
          <w:rFonts w:hint="eastAsia"/>
          <w:szCs w:val="21"/>
        </w:rPr>
        <w:t>1.</w:t>
      </w:r>
      <w:r>
        <w:rPr>
          <w:szCs w:val="21"/>
        </w:rPr>
        <w:t>2</w:t>
      </w:r>
      <w:r>
        <w:rPr>
          <w:rFonts w:hint="eastAsia"/>
          <w:szCs w:val="21"/>
        </w:rPr>
        <w:t>.</w:t>
      </w:r>
      <w:r>
        <w:rPr>
          <w:szCs w:val="21"/>
        </w:rPr>
        <w:t>5</w:t>
      </w:r>
      <w:r>
        <w:rPr>
          <w:rFonts w:hint="eastAsia"/>
          <w:szCs w:val="21"/>
        </w:rPr>
        <w:t xml:space="preserve"> </w:t>
      </w:r>
      <w:r>
        <w:rPr>
          <w:szCs w:val="21"/>
        </w:rPr>
        <w:t xml:space="preserve"> </w:t>
      </w:r>
      <w:r>
        <w:rPr>
          <w:rFonts w:hint="eastAsia"/>
          <w:szCs w:val="21"/>
        </w:rPr>
        <w:t>型深</w:t>
      </w:r>
      <w:r>
        <w:rPr>
          <w:rFonts w:hint="eastAsia"/>
          <w:i/>
          <w:szCs w:val="21"/>
        </w:rPr>
        <w:t>D</w:t>
      </w:r>
      <w:r>
        <w:rPr>
          <w:rFonts w:hint="eastAsia"/>
          <w:szCs w:val="21"/>
        </w:rPr>
        <w:t>（m）：在船长中点处，沿舷侧自平板龙骨（或中纵剖面处船底板）下表面量至舷侧干舷甲板上表面的重直距离。</w:t>
      </w:r>
    </w:p>
    <w:p>
      <w:pPr>
        <w:ind w:firstLine="420" w:firstLineChars="200"/>
        <w:jc w:val="left"/>
        <w:rPr>
          <w:szCs w:val="21"/>
        </w:rPr>
      </w:pPr>
      <w:r>
        <w:rPr>
          <w:rFonts w:hint="eastAsia"/>
          <w:szCs w:val="21"/>
        </w:rPr>
        <w:t>1.</w:t>
      </w:r>
      <w:r>
        <w:rPr>
          <w:szCs w:val="21"/>
        </w:rPr>
        <w:t>2</w:t>
      </w:r>
      <w:r>
        <w:rPr>
          <w:rFonts w:hint="eastAsia"/>
          <w:szCs w:val="21"/>
        </w:rPr>
        <w:t>.</w:t>
      </w:r>
      <w:r>
        <w:rPr>
          <w:szCs w:val="21"/>
        </w:rPr>
        <w:t>6</w:t>
      </w:r>
      <w:r>
        <w:rPr>
          <w:rFonts w:hint="eastAsia"/>
          <w:szCs w:val="21"/>
        </w:rPr>
        <w:t xml:space="preserve"> </w:t>
      </w:r>
      <w:r>
        <w:rPr>
          <w:szCs w:val="21"/>
        </w:rPr>
        <w:t xml:space="preserve"> </w:t>
      </w:r>
      <w:r>
        <w:rPr>
          <w:rFonts w:hint="eastAsia"/>
          <w:szCs w:val="21"/>
        </w:rPr>
        <w:t>吃水</w:t>
      </w:r>
      <w:r>
        <w:rPr>
          <w:rFonts w:hint="eastAsia"/>
          <w:i/>
          <w:szCs w:val="21"/>
        </w:rPr>
        <w:t>d</w:t>
      </w:r>
      <w:r>
        <w:rPr>
          <w:rFonts w:hint="eastAsia"/>
          <w:szCs w:val="21"/>
        </w:rPr>
        <w:t>（m）：在船长中点处，由平板龙骨（或中纵剖面处船底板）下表面量至满载水线的垂直距离。</w:t>
      </w:r>
    </w:p>
    <w:p>
      <w:pPr>
        <w:ind w:firstLine="420" w:firstLineChars="200"/>
        <w:jc w:val="left"/>
        <w:rPr>
          <w:szCs w:val="21"/>
        </w:rPr>
      </w:pPr>
      <w:r>
        <w:rPr>
          <w:rFonts w:hint="eastAsia"/>
          <w:szCs w:val="21"/>
        </w:rPr>
        <w:t>1.</w:t>
      </w:r>
      <w:r>
        <w:rPr>
          <w:szCs w:val="21"/>
        </w:rPr>
        <w:t>2</w:t>
      </w:r>
      <w:r>
        <w:rPr>
          <w:rFonts w:hint="eastAsia"/>
          <w:szCs w:val="21"/>
        </w:rPr>
        <w:t>.</w:t>
      </w:r>
      <w:r>
        <w:rPr>
          <w:szCs w:val="21"/>
        </w:rPr>
        <w:t>7</w:t>
      </w:r>
      <w:r>
        <w:rPr>
          <w:rFonts w:hint="eastAsia"/>
          <w:szCs w:val="21"/>
        </w:rPr>
        <w:t xml:space="preserve"> </w:t>
      </w:r>
      <w:r>
        <w:rPr>
          <w:szCs w:val="21"/>
        </w:rPr>
        <w:t xml:space="preserve"> 高速船：系指最大航速能同时满足下式的船舶：</w:t>
      </w:r>
    </w:p>
    <w:p>
      <w:pPr>
        <w:adjustRightInd w:val="0"/>
        <w:snapToGrid w:val="0"/>
        <w:ind w:firstLine="420" w:firstLineChars="200"/>
        <w:jc w:val="center"/>
        <w:rPr>
          <w:szCs w:val="21"/>
        </w:rPr>
      </w:pPr>
      <w:r>
        <w:rPr>
          <w:i/>
          <w:szCs w:val="21"/>
        </w:rPr>
        <w:t>V</w:t>
      </w:r>
      <w:r>
        <w:rPr>
          <w:rFonts w:hint="eastAsia"/>
          <w:i/>
          <w:szCs w:val="21"/>
        </w:rPr>
        <w:t xml:space="preserve"> </w:t>
      </w:r>
      <w:r>
        <w:rPr>
          <w:szCs w:val="21"/>
        </w:rPr>
        <w:t>≥3.7</w:t>
      </w:r>
      <w:r>
        <w:rPr>
          <w:rFonts w:hint="eastAsia" w:ascii="宋体" w:hAnsi="宋体" w:cs="宋体"/>
          <w:i/>
          <w:szCs w:val="21"/>
        </w:rPr>
        <w:t>▽</w:t>
      </w:r>
      <w:r>
        <w:rPr>
          <w:szCs w:val="21"/>
          <w:vertAlign w:val="superscript"/>
        </w:rPr>
        <w:t xml:space="preserve">0.1667  </w:t>
      </w:r>
      <w:r>
        <w:rPr>
          <w:szCs w:val="21"/>
        </w:rPr>
        <w:t>m/s</w:t>
      </w:r>
    </w:p>
    <w:p>
      <w:pPr>
        <w:adjustRightInd w:val="0"/>
        <w:snapToGrid w:val="0"/>
        <w:ind w:firstLine="420" w:firstLineChars="200"/>
        <w:jc w:val="center"/>
        <w:rPr>
          <w:szCs w:val="21"/>
        </w:rPr>
      </w:pPr>
      <w:r>
        <w:rPr>
          <w:i/>
          <w:szCs w:val="21"/>
        </w:rPr>
        <w:t>V</w:t>
      </w:r>
      <w:r>
        <w:rPr>
          <w:rFonts w:hint="eastAsia"/>
          <w:i/>
          <w:szCs w:val="21"/>
        </w:rPr>
        <w:t xml:space="preserve"> </w:t>
      </w:r>
      <w:r>
        <w:rPr>
          <w:szCs w:val="21"/>
        </w:rPr>
        <w:t>≥10        kn</w:t>
      </w:r>
    </w:p>
    <w:p>
      <w:pPr>
        <w:adjustRightInd w:val="0"/>
        <w:snapToGrid w:val="0"/>
        <w:ind w:firstLine="420" w:firstLineChars="200"/>
        <w:rPr>
          <w:szCs w:val="21"/>
        </w:rPr>
      </w:pPr>
      <w:r>
        <w:rPr>
          <w:szCs w:val="21"/>
        </w:rPr>
        <w:t>式中：</w:t>
      </w:r>
      <w:r>
        <w:rPr>
          <w:i/>
          <w:szCs w:val="21"/>
        </w:rPr>
        <w:t>V</w:t>
      </w:r>
      <w:r>
        <w:rPr>
          <w:szCs w:val="21"/>
        </w:rPr>
        <w:t>—最大航速；</w:t>
      </w:r>
    </w:p>
    <w:p>
      <w:pPr>
        <w:adjustRightInd w:val="0"/>
        <w:snapToGrid w:val="0"/>
        <w:ind w:firstLine="1050" w:firstLineChars="500"/>
        <w:rPr>
          <w:szCs w:val="21"/>
        </w:rPr>
      </w:pPr>
      <w:r>
        <w:rPr>
          <w:rFonts w:hint="eastAsia" w:ascii="宋体" w:hAnsi="宋体" w:cs="宋体"/>
          <w:i/>
          <w:szCs w:val="21"/>
        </w:rPr>
        <w:t>▽</w:t>
      </w:r>
      <w:r>
        <w:rPr>
          <w:szCs w:val="21"/>
        </w:rPr>
        <w:t>—</w:t>
      </w:r>
      <w:r>
        <w:rPr>
          <w:bCs/>
          <w:szCs w:val="21"/>
        </w:rPr>
        <w:t>满载排水量</w:t>
      </w:r>
      <w:r>
        <w:rPr>
          <w:szCs w:val="21"/>
        </w:rPr>
        <w:t>对应的排水体积，m</w:t>
      </w:r>
      <w:r>
        <w:rPr>
          <w:szCs w:val="21"/>
          <w:vertAlign w:val="superscript"/>
        </w:rPr>
        <w:t>3</w:t>
      </w:r>
      <w:r>
        <w:rPr>
          <w:szCs w:val="21"/>
        </w:rPr>
        <w:t>。</w:t>
      </w:r>
    </w:p>
    <w:p>
      <w:pPr>
        <w:ind w:firstLine="420" w:firstLineChars="200"/>
        <w:rPr>
          <w:szCs w:val="21"/>
        </w:rPr>
      </w:pPr>
      <w:r>
        <w:rPr>
          <w:rFonts w:hint="eastAsia"/>
          <w:szCs w:val="21"/>
        </w:rPr>
        <w:t>1.</w:t>
      </w:r>
      <w:r>
        <w:rPr>
          <w:szCs w:val="21"/>
        </w:rPr>
        <w:t>2</w:t>
      </w:r>
      <w:r>
        <w:rPr>
          <w:rFonts w:hint="eastAsia"/>
          <w:szCs w:val="21"/>
        </w:rPr>
        <w:t>.</w:t>
      </w:r>
      <w:r>
        <w:rPr>
          <w:szCs w:val="21"/>
        </w:rPr>
        <w:t>8</w:t>
      </w:r>
      <w:r>
        <w:rPr>
          <w:rFonts w:hint="eastAsia"/>
          <w:szCs w:val="21"/>
        </w:rPr>
        <w:t xml:space="preserve"> </w:t>
      </w:r>
      <w:r>
        <w:rPr>
          <w:szCs w:val="21"/>
        </w:rPr>
        <w:t xml:space="preserve"> </w:t>
      </w:r>
      <w:r>
        <w:rPr>
          <w:rFonts w:hint="eastAsia"/>
          <w:szCs w:val="21"/>
        </w:rPr>
        <w:t>粉料：聚乙烯材料的聚合过程中，从聚合釜中出来的，呈粉末状的产品。</w:t>
      </w:r>
    </w:p>
    <w:p>
      <w:pPr>
        <w:ind w:firstLine="420" w:firstLineChars="200"/>
        <w:rPr>
          <w:szCs w:val="21"/>
        </w:rPr>
      </w:pPr>
      <w:r>
        <w:rPr>
          <w:rFonts w:hint="eastAsia"/>
          <w:szCs w:val="21"/>
        </w:rPr>
        <w:t>1.</w:t>
      </w:r>
      <w:r>
        <w:rPr>
          <w:szCs w:val="21"/>
        </w:rPr>
        <w:t>2</w:t>
      </w:r>
      <w:r>
        <w:rPr>
          <w:rFonts w:hint="eastAsia"/>
          <w:szCs w:val="21"/>
        </w:rPr>
        <w:t>.</w:t>
      </w:r>
      <w:r>
        <w:rPr>
          <w:szCs w:val="21"/>
        </w:rPr>
        <w:t>9</w:t>
      </w:r>
      <w:r>
        <w:rPr>
          <w:rFonts w:hint="eastAsia"/>
          <w:szCs w:val="21"/>
        </w:rPr>
        <w:t xml:space="preserve"> </w:t>
      </w:r>
      <w:r>
        <w:rPr>
          <w:szCs w:val="21"/>
        </w:rPr>
        <w:t xml:space="preserve"> </w:t>
      </w:r>
      <w:r>
        <w:rPr>
          <w:rFonts w:hint="eastAsia"/>
          <w:szCs w:val="21"/>
        </w:rPr>
        <w:t>粒料：聚乙烯材料通过挤出机造粒制备而成的，呈颗粒状的产品。</w:t>
      </w:r>
    </w:p>
    <w:p>
      <w:pPr>
        <w:ind w:firstLine="420" w:firstLineChars="200"/>
        <w:rPr>
          <w:szCs w:val="21"/>
        </w:rPr>
      </w:pPr>
      <w:r>
        <w:rPr>
          <w:rFonts w:hint="eastAsia"/>
          <w:szCs w:val="21"/>
        </w:rPr>
        <w:t>1.</w:t>
      </w:r>
      <w:r>
        <w:rPr>
          <w:szCs w:val="21"/>
        </w:rPr>
        <w:t>2</w:t>
      </w:r>
      <w:r>
        <w:rPr>
          <w:rFonts w:hint="eastAsia"/>
          <w:szCs w:val="21"/>
        </w:rPr>
        <w:t>.</w:t>
      </w:r>
      <w:r>
        <w:rPr>
          <w:szCs w:val="21"/>
        </w:rPr>
        <w:t>10</w:t>
      </w:r>
      <w:r>
        <w:rPr>
          <w:rFonts w:hint="eastAsia"/>
          <w:szCs w:val="21"/>
        </w:rPr>
        <w:t xml:space="preserve"> </w:t>
      </w:r>
      <w:r>
        <w:rPr>
          <w:szCs w:val="21"/>
        </w:rPr>
        <w:t xml:space="preserve"> </w:t>
      </w:r>
      <w:r>
        <w:rPr>
          <w:rFonts w:hint="eastAsia"/>
          <w:szCs w:val="21"/>
        </w:rPr>
        <w:t>混配料：将粉料或粒料与各种不同助剂混合分散均匀所制得的产品，该混合过程是一简单的物理混合过程，又称干混。</w:t>
      </w:r>
    </w:p>
    <w:p>
      <w:pPr>
        <w:ind w:firstLine="420" w:firstLineChars="200"/>
        <w:rPr>
          <w:szCs w:val="21"/>
        </w:rPr>
      </w:pPr>
      <w:r>
        <w:rPr>
          <w:rFonts w:hint="eastAsia"/>
          <w:szCs w:val="21"/>
        </w:rPr>
        <w:t>1.</w:t>
      </w:r>
      <w:r>
        <w:rPr>
          <w:szCs w:val="21"/>
        </w:rPr>
        <w:t>2</w:t>
      </w:r>
      <w:r>
        <w:rPr>
          <w:rFonts w:hint="eastAsia"/>
          <w:szCs w:val="21"/>
        </w:rPr>
        <w:t>.</w:t>
      </w:r>
      <w:r>
        <w:rPr>
          <w:szCs w:val="21"/>
        </w:rPr>
        <w:t>11</w:t>
      </w:r>
      <w:r>
        <w:rPr>
          <w:rFonts w:hint="eastAsia"/>
          <w:szCs w:val="21"/>
        </w:rPr>
        <w:t xml:space="preserve">  再生料：工业上可以回收，通过某种加工过程而可以再次使用的聚乙烯原料。</w:t>
      </w:r>
    </w:p>
    <w:p>
      <w:pPr>
        <w:ind w:firstLine="420" w:firstLineChars="200"/>
        <w:rPr>
          <w:szCs w:val="21"/>
        </w:rPr>
      </w:pPr>
      <w:r>
        <w:rPr>
          <w:rFonts w:hint="eastAsia"/>
          <w:szCs w:val="21"/>
        </w:rPr>
        <w:t>1.</w:t>
      </w:r>
      <w:r>
        <w:rPr>
          <w:szCs w:val="21"/>
        </w:rPr>
        <w:t>2</w:t>
      </w:r>
      <w:r>
        <w:rPr>
          <w:rFonts w:hint="eastAsia"/>
          <w:szCs w:val="21"/>
        </w:rPr>
        <w:t>.</w:t>
      </w:r>
      <w:r>
        <w:rPr>
          <w:szCs w:val="21"/>
        </w:rPr>
        <w:t>12</w:t>
      </w:r>
      <w:r>
        <w:rPr>
          <w:rFonts w:hint="eastAsia"/>
          <w:szCs w:val="21"/>
        </w:rPr>
        <w:t xml:space="preserve"> </w:t>
      </w:r>
      <w:r>
        <w:rPr>
          <w:szCs w:val="21"/>
        </w:rPr>
        <w:t xml:space="preserve"> </w:t>
      </w:r>
      <w:r>
        <w:rPr>
          <w:rFonts w:hint="eastAsia"/>
          <w:szCs w:val="21"/>
        </w:rPr>
        <w:t>滚塑成型工艺：模具中加入粉料或混配料，通过加热熔融，并以一定速度单轴或多轴纵、横向摆动及旋转，使材料均匀分布并附贴于模具内壁表面，经冷却固化、定型、脱模成为船体</w:t>
      </w:r>
      <w:r>
        <w:rPr>
          <w:szCs w:val="21"/>
        </w:rPr>
        <w:t>的</w:t>
      </w:r>
      <w:r>
        <w:rPr>
          <w:rFonts w:hint="eastAsia"/>
          <w:szCs w:val="21"/>
        </w:rPr>
        <w:t>工艺过程。</w:t>
      </w:r>
    </w:p>
    <w:p>
      <w:pPr>
        <w:ind w:firstLine="420" w:firstLineChars="200"/>
        <w:rPr>
          <w:szCs w:val="21"/>
        </w:rPr>
      </w:pPr>
      <w:r>
        <w:rPr>
          <w:rFonts w:hint="eastAsia"/>
          <w:szCs w:val="21"/>
        </w:rPr>
        <w:t>1.</w:t>
      </w:r>
      <w:r>
        <w:rPr>
          <w:szCs w:val="21"/>
        </w:rPr>
        <w:t>2</w:t>
      </w:r>
      <w:r>
        <w:rPr>
          <w:rFonts w:hint="eastAsia"/>
          <w:szCs w:val="21"/>
        </w:rPr>
        <w:t>.</w:t>
      </w:r>
      <w:r>
        <w:rPr>
          <w:szCs w:val="21"/>
        </w:rPr>
        <w:t>13</w:t>
      </w:r>
      <w:r>
        <w:rPr>
          <w:rFonts w:hint="eastAsia"/>
          <w:szCs w:val="21"/>
        </w:rPr>
        <w:t xml:space="preserve"> </w:t>
      </w:r>
      <w:r>
        <w:rPr>
          <w:szCs w:val="21"/>
        </w:rPr>
        <w:t xml:space="preserve"> </w:t>
      </w:r>
      <w:r>
        <w:rPr>
          <w:rFonts w:hint="eastAsia"/>
          <w:szCs w:val="21"/>
        </w:rPr>
        <w:t>熔结时间：滚塑成型工艺过程中，粉料或混配料熔融完全附着于模具表面的加热时间。</w:t>
      </w:r>
    </w:p>
    <w:p>
      <w:pPr>
        <w:ind w:firstLine="420" w:firstLineChars="200"/>
        <w:rPr>
          <w:szCs w:val="21"/>
        </w:rPr>
      </w:pPr>
      <w:r>
        <w:rPr>
          <w:rFonts w:hint="eastAsia"/>
          <w:szCs w:val="21"/>
        </w:rPr>
        <w:t>1.</w:t>
      </w:r>
      <w:r>
        <w:rPr>
          <w:szCs w:val="21"/>
        </w:rPr>
        <w:t>2</w:t>
      </w:r>
      <w:r>
        <w:rPr>
          <w:rFonts w:hint="eastAsia"/>
          <w:szCs w:val="21"/>
        </w:rPr>
        <w:t>.</w:t>
      </w:r>
      <w:r>
        <w:rPr>
          <w:szCs w:val="21"/>
        </w:rPr>
        <w:t>14</w:t>
      </w:r>
      <w:r>
        <w:rPr>
          <w:rFonts w:hint="eastAsia"/>
          <w:szCs w:val="21"/>
        </w:rPr>
        <w:t xml:space="preserve"> </w:t>
      </w:r>
      <w:r>
        <w:rPr>
          <w:szCs w:val="21"/>
        </w:rPr>
        <w:t xml:space="preserve"> </w:t>
      </w:r>
      <w:r>
        <w:rPr>
          <w:rFonts w:hint="eastAsia"/>
          <w:szCs w:val="21"/>
        </w:rPr>
        <w:t>熔结后期时间：滚塑成型工艺过程中，模具内粉料或混配料完全熔融后继续加热，使熔融后的原料中气泡全部消除的加热时间。</w:t>
      </w:r>
    </w:p>
    <w:p>
      <w:pPr>
        <w:ind w:firstLine="420" w:firstLineChars="200"/>
        <w:rPr>
          <w:szCs w:val="21"/>
        </w:rPr>
      </w:pPr>
      <w:r>
        <w:rPr>
          <w:rFonts w:hint="eastAsia"/>
          <w:szCs w:val="21"/>
        </w:rPr>
        <w:t>1.</w:t>
      </w:r>
      <w:r>
        <w:rPr>
          <w:szCs w:val="21"/>
        </w:rPr>
        <w:t>2</w:t>
      </w:r>
      <w:r>
        <w:rPr>
          <w:rFonts w:hint="eastAsia"/>
          <w:szCs w:val="21"/>
        </w:rPr>
        <w:t>.</w:t>
      </w:r>
      <w:r>
        <w:rPr>
          <w:szCs w:val="21"/>
        </w:rPr>
        <w:t>15</w:t>
      </w:r>
      <w:r>
        <w:rPr>
          <w:rFonts w:hint="eastAsia"/>
          <w:szCs w:val="21"/>
        </w:rPr>
        <w:t xml:space="preserve"> </w:t>
      </w:r>
      <w:r>
        <w:rPr>
          <w:szCs w:val="21"/>
        </w:rPr>
        <w:t xml:space="preserve"> </w:t>
      </w:r>
      <w:r>
        <w:rPr>
          <w:rFonts w:hint="eastAsia"/>
          <w:szCs w:val="21"/>
        </w:rPr>
        <w:t>单层</w:t>
      </w:r>
      <w:r>
        <w:rPr>
          <w:szCs w:val="21"/>
        </w:rPr>
        <w:t>结构：系指由单层聚乙烯板材组成</w:t>
      </w:r>
      <w:r>
        <w:rPr>
          <w:rFonts w:hint="eastAsia"/>
          <w:szCs w:val="21"/>
        </w:rPr>
        <w:t>的</w:t>
      </w:r>
      <w:r>
        <w:rPr>
          <w:szCs w:val="21"/>
        </w:rPr>
        <w:t>结构。</w:t>
      </w:r>
    </w:p>
    <w:p>
      <w:pPr>
        <w:ind w:firstLine="420" w:firstLineChars="200"/>
        <w:rPr>
          <w:szCs w:val="21"/>
        </w:rPr>
      </w:pPr>
      <w:r>
        <w:rPr>
          <w:rFonts w:hint="eastAsia"/>
          <w:szCs w:val="21"/>
        </w:rPr>
        <w:t>1.</w:t>
      </w:r>
      <w:r>
        <w:rPr>
          <w:szCs w:val="21"/>
        </w:rPr>
        <w:t>2</w:t>
      </w:r>
      <w:r>
        <w:rPr>
          <w:rFonts w:hint="eastAsia"/>
          <w:szCs w:val="21"/>
        </w:rPr>
        <w:t>.</w:t>
      </w:r>
      <w:r>
        <w:rPr>
          <w:szCs w:val="21"/>
        </w:rPr>
        <w:t>16</w:t>
      </w:r>
      <w:r>
        <w:rPr>
          <w:rFonts w:hint="eastAsia"/>
          <w:szCs w:val="21"/>
        </w:rPr>
        <w:t xml:space="preserve"> </w:t>
      </w:r>
      <w:r>
        <w:rPr>
          <w:szCs w:val="21"/>
        </w:rPr>
        <w:t xml:space="preserve"> </w:t>
      </w:r>
      <w:r>
        <w:rPr>
          <w:rFonts w:hint="eastAsia"/>
          <w:szCs w:val="21"/>
        </w:rPr>
        <w:t>夹层</w:t>
      </w:r>
      <w:r>
        <w:rPr>
          <w:szCs w:val="21"/>
        </w:rPr>
        <w:t>结构：系</w:t>
      </w:r>
      <w:r>
        <w:rPr>
          <w:rFonts w:hint="eastAsia"/>
          <w:szCs w:val="21"/>
        </w:rPr>
        <w:t>指</w:t>
      </w:r>
      <w:r>
        <w:rPr>
          <w:szCs w:val="21"/>
        </w:rPr>
        <w:t>在两层聚乙烯板材</w:t>
      </w:r>
      <w:r>
        <w:rPr>
          <w:rFonts w:hint="eastAsia"/>
          <w:szCs w:val="21"/>
        </w:rPr>
        <w:t>组成</w:t>
      </w:r>
      <w:r>
        <w:rPr>
          <w:szCs w:val="21"/>
        </w:rPr>
        <w:t>的结构</w:t>
      </w:r>
      <w:r>
        <w:rPr>
          <w:rFonts w:hint="eastAsia"/>
          <w:szCs w:val="21"/>
        </w:rPr>
        <w:t>，中</w:t>
      </w:r>
      <w:r>
        <w:rPr>
          <w:szCs w:val="21"/>
        </w:rPr>
        <w:t>间</w:t>
      </w:r>
      <w:r>
        <w:rPr>
          <w:rFonts w:hint="eastAsia"/>
          <w:szCs w:val="21"/>
        </w:rPr>
        <w:t>可</w:t>
      </w:r>
      <w:r>
        <w:rPr>
          <w:szCs w:val="21"/>
        </w:rPr>
        <w:t>填充发泡塑料或</w:t>
      </w:r>
      <w:r>
        <w:rPr>
          <w:rFonts w:hint="eastAsia"/>
          <w:szCs w:val="21"/>
        </w:rPr>
        <w:t>设置</w:t>
      </w:r>
      <w:r>
        <w:rPr>
          <w:szCs w:val="21"/>
        </w:rPr>
        <w:t>骨架。</w:t>
      </w:r>
    </w:p>
    <w:p>
      <w:pPr>
        <w:ind w:firstLine="420" w:firstLineChars="200"/>
        <w:rPr>
          <w:szCs w:val="21"/>
        </w:rPr>
      </w:pPr>
      <w:r>
        <w:rPr>
          <w:rFonts w:hint="eastAsia"/>
          <w:szCs w:val="21"/>
        </w:rPr>
        <w:t>1.</w:t>
      </w:r>
      <w:r>
        <w:rPr>
          <w:szCs w:val="21"/>
        </w:rPr>
        <w:t>2</w:t>
      </w:r>
      <w:r>
        <w:rPr>
          <w:rFonts w:hint="eastAsia"/>
          <w:szCs w:val="21"/>
        </w:rPr>
        <w:t>.</w:t>
      </w:r>
      <w:r>
        <w:rPr>
          <w:szCs w:val="21"/>
        </w:rPr>
        <w:t>17</w:t>
      </w:r>
      <w:r>
        <w:rPr>
          <w:rFonts w:hint="eastAsia"/>
          <w:szCs w:val="21"/>
        </w:rPr>
        <w:t xml:space="preserve"> </w:t>
      </w:r>
      <w:r>
        <w:rPr>
          <w:szCs w:val="21"/>
        </w:rPr>
        <w:t xml:space="preserve"> </w:t>
      </w:r>
      <w:r>
        <w:rPr>
          <w:rFonts w:hint="eastAsia"/>
          <w:szCs w:val="21"/>
        </w:rPr>
        <w:t>焊接成型工艺：通过对焊件加热并施加压力的方式来接合型材的工艺过程。</w:t>
      </w:r>
    </w:p>
    <w:p>
      <w:pPr>
        <w:ind w:firstLine="420" w:firstLineChars="200"/>
        <w:rPr>
          <w:szCs w:val="21"/>
        </w:rPr>
      </w:pPr>
      <w:r>
        <w:rPr>
          <w:rFonts w:hint="eastAsia"/>
          <w:szCs w:val="21"/>
        </w:rPr>
        <w:t>1.</w:t>
      </w:r>
      <w:r>
        <w:rPr>
          <w:szCs w:val="21"/>
        </w:rPr>
        <w:t>2</w:t>
      </w:r>
      <w:r>
        <w:rPr>
          <w:rFonts w:hint="eastAsia"/>
          <w:szCs w:val="21"/>
        </w:rPr>
        <w:t>.</w:t>
      </w:r>
      <w:r>
        <w:rPr>
          <w:szCs w:val="21"/>
        </w:rPr>
        <w:t>18</w:t>
      </w:r>
      <w:r>
        <w:rPr>
          <w:rFonts w:hint="eastAsia"/>
          <w:szCs w:val="21"/>
        </w:rPr>
        <w:t xml:space="preserve"> </w:t>
      </w:r>
      <w:r>
        <w:rPr>
          <w:szCs w:val="21"/>
        </w:rPr>
        <w:t xml:space="preserve"> </w:t>
      </w:r>
      <w:r>
        <w:rPr>
          <w:rFonts w:hint="eastAsia"/>
          <w:szCs w:val="21"/>
        </w:rPr>
        <w:t>焊靴：一种安装在聚乙烯焊接设备的头部，用于焊缝定型及压实的小型装置。</w:t>
      </w:r>
    </w:p>
    <w:p>
      <w:pPr>
        <w:ind w:firstLine="420" w:firstLineChars="200"/>
        <w:rPr>
          <w:szCs w:val="21"/>
        </w:rPr>
      </w:pPr>
      <w:r>
        <w:rPr>
          <w:rFonts w:hint="eastAsia"/>
          <w:szCs w:val="21"/>
        </w:rPr>
        <w:t>1.</w:t>
      </w:r>
      <w:r>
        <w:rPr>
          <w:szCs w:val="21"/>
        </w:rPr>
        <w:t>2</w:t>
      </w:r>
      <w:r>
        <w:rPr>
          <w:rFonts w:hint="eastAsia"/>
          <w:szCs w:val="21"/>
        </w:rPr>
        <w:t>.</w:t>
      </w:r>
      <w:r>
        <w:rPr>
          <w:szCs w:val="21"/>
        </w:rPr>
        <w:t>19</w:t>
      </w:r>
      <w:r>
        <w:rPr>
          <w:rFonts w:hint="eastAsia"/>
          <w:szCs w:val="21"/>
        </w:rPr>
        <w:t xml:space="preserve"> </w:t>
      </w:r>
      <w:r>
        <w:rPr>
          <w:szCs w:val="21"/>
        </w:rPr>
        <w:t xml:space="preserve"> </w:t>
      </w:r>
      <w:r>
        <w:rPr>
          <w:rFonts w:hint="eastAsia"/>
          <w:szCs w:val="21"/>
        </w:rPr>
        <w:t>滚塑</w:t>
      </w:r>
      <w:r>
        <w:rPr>
          <w:szCs w:val="21"/>
        </w:rPr>
        <w:t>成型聚乙烯渔船型式检验</w:t>
      </w:r>
      <w:r>
        <w:rPr>
          <w:rFonts w:hint="eastAsia"/>
          <w:szCs w:val="21"/>
        </w:rPr>
        <w:t>：</w:t>
      </w:r>
      <w:r>
        <w:rPr>
          <w:szCs w:val="21"/>
        </w:rPr>
        <w:t>系指通过</w:t>
      </w:r>
      <w:r>
        <w:rPr>
          <w:rFonts w:hint="eastAsia"/>
          <w:szCs w:val="21"/>
        </w:rPr>
        <w:t>原型</w:t>
      </w:r>
      <w:r>
        <w:rPr>
          <w:szCs w:val="21"/>
        </w:rPr>
        <w:t>船</w:t>
      </w:r>
      <w:r>
        <w:rPr>
          <w:rFonts w:hint="eastAsia"/>
          <w:szCs w:val="21"/>
        </w:rPr>
        <w:t>/</w:t>
      </w:r>
      <w:r>
        <w:rPr>
          <w:szCs w:val="21"/>
        </w:rPr>
        <w:t>首制船的全面检验和试验，证实其代表的一个船型型式符合规定的检验方式。</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r>
        <w:rPr>
          <w:rFonts w:eastAsia="楷体"/>
          <w:b w:val="0"/>
          <w:bCs w:val="0"/>
          <w:snapToGrid w:val="0"/>
          <w:kern w:val="0"/>
          <w:sz w:val="28"/>
          <w:szCs w:val="20"/>
        </w:rPr>
        <w:t xml:space="preserve">第3节  </w:t>
      </w:r>
      <w:r>
        <w:rPr>
          <w:rFonts w:hint="eastAsia" w:eastAsia="楷体"/>
          <w:b w:val="0"/>
          <w:bCs w:val="0"/>
          <w:snapToGrid w:val="0"/>
          <w:kern w:val="0"/>
          <w:sz w:val="28"/>
          <w:szCs w:val="20"/>
        </w:rPr>
        <w:t>航区划分与</w:t>
      </w:r>
      <w:r>
        <w:rPr>
          <w:rFonts w:eastAsia="楷体"/>
          <w:b w:val="0"/>
          <w:bCs w:val="0"/>
          <w:snapToGrid w:val="0"/>
          <w:kern w:val="0"/>
          <w:sz w:val="28"/>
          <w:szCs w:val="20"/>
        </w:rPr>
        <w:t>吨位丈量</w:t>
      </w:r>
    </w:p>
    <w:p>
      <w:pPr>
        <w:ind w:firstLine="420" w:firstLineChars="200"/>
        <w:rPr>
          <w:szCs w:val="21"/>
        </w:rPr>
      </w:pPr>
      <w:r>
        <w:rPr>
          <w:rFonts w:hint="eastAsia"/>
          <w:szCs w:val="21"/>
        </w:rPr>
        <w:t>1.</w:t>
      </w:r>
      <w:r>
        <w:rPr>
          <w:szCs w:val="21"/>
        </w:rPr>
        <w:t>3</w:t>
      </w:r>
      <w:r>
        <w:rPr>
          <w:rFonts w:hint="eastAsia"/>
          <w:szCs w:val="21"/>
        </w:rPr>
        <w:t>.</w:t>
      </w:r>
      <w:r>
        <w:rPr>
          <w:szCs w:val="21"/>
        </w:rPr>
        <w:t xml:space="preserve">1  </w:t>
      </w:r>
      <w:r>
        <w:rPr>
          <w:rFonts w:hint="eastAsia"/>
          <w:szCs w:val="21"/>
        </w:rPr>
        <w:t>航区</w:t>
      </w:r>
      <w:r>
        <w:rPr>
          <w:szCs w:val="21"/>
        </w:rPr>
        <w:t>划分</w:t>
      </w:r>
    </w:p>
    <w:p>
      <w:pPr>
        <w:adjustRightInd w:val="0"/>
        <w:snapToGrid w:val="0"/>
        <w:ind w:firstLine="420" w:firstLineChars="200"/>
      </w:pPr>
      <w:r>
        <w:rPr>
          <w:szCs w:val="21"/>
        </w:rPr>
        <w:t xml:space="preserve">1.3.1.1  </w:t>
      </w:r>
      <w:r>
        <w:rPr>
          <w:rFonts w:hint="eastAsia"/>
          <w:szCs w:val="21"/>
        </w:rPr>
        <w:t>聚乙烯</w:t>
      </w:r>
      <w:r>
        <w:rPr>
          <w:szCs w:val="21"/>
        </w:rPr>
        <w:t>渔船</w:t>
      </w:r>
      <w:r>
        <w:rPr>
          <w:rFonts w:hint="eastAsia"/>
          <w:szCs w:val="21"/>
        </w:rPr>
        <w:t>航区划分</w:t>
      </w:r>
      <w:r>
        <w:rPr>
          <w:szCs w:val="21"/>
        </w:rPr>
        <w:t>由船舶检验</w:t>
      </w:r>
      <w:r>
        <w:rPr>
          <w:rFonts w:hint="eastAsia"/>
          <w:szCs w:val="21"/>
        </w:rPr>
        <w:t>机构</w:t>
      </w:r>
      <w:r>
        <w:rPr>
          <w:szCs w:val="21"/>
        </w:rPr>
        <w:t>按照本局</w:t>
      </w:r>
      <w:r>
        <w:rPr>
          <w:rFonts w:hint="eastAsia"/>
          <w:szCs w:val="21"/>
        </w:rPr>
        <w:t>颁布</w:t>
      </w:r>
      <w:r>
        <w:rPr>
          <w:szCs w:val="21"/>
        </w:rPr>
        <w:t>的</w:t>
      </w:r>
      <w:r>
        <w:rPr>
          <w:rFonts w:hint="eastAsia"/>
        </w:rPr>
        <w:t>《航区划分规则》</w:t>
      </w:r>
      <w:r>
        <w:rPr>
          <w:rStyle w:val="19"/>
        </w:rPr>
        <w:footnoteReference w:id="0"/>
      </w:r>
      <w:r>
        <w:rPr>
          <w:rFonts w:hint="eastAsia"/>
        </w:rPr>
        <w:t>执行。</w:t>
      </w:r>
    </w:p>
    <w:p>
      <w:pPr>
        <w:adjustRightInd w:val="0"/>
        <w:snapToGrid w:val="0"/>
        <w:ind w:firstLine="420" w:firstLineChars="200"/>
        <w:rPr>
          <w:szCs w:val="21"/>
        </w:rPr>
      </w:pPr>
    </w:p>
    <w:p>
      <w:pPr>
        <w:adjustRightInd w:val="0"/>
        <w:snapToGrid w:val="0"/>
        <w:ind w:firstLine="420" w:firstLineChars="200"/>
        <w:rPr>
          <w:szCs w:val="21"/>
        </w:rPr>
      </w:pPr>
      <w:r>
        <w:rPr>
          <w:rFonts w:hint="eastAsia"/>
          <w:szCs w:val="21"/>
        </w:rPr>
        <w:t>1.</w:t>
      </w:r>
      <w:r>
        <w:rPr>
          <w:szCs w:val="21"/>
        </w:rPr>
        <w:t>3</w:t>
      </w:r>
      <w:r>
        <w:rPr>
          <w:rFonts w:hint="eastAsia"/>
          <w:szCs w:val="21"/>
        </w:rPr>
        <w:t>.</w:t>
      </w:r>
      <w:r>
        <w:rPr>
          <w:szCs w:val="21"/>
        </w:rPr>
        <w:t xml:space="preserve">2  </w:t>
      </w:r>
      <w:r>
        <w:rPr>
          <w:rFonts w:hint="eastAsia"/>
          <w:szCs w:val="21"/>
        </w:rPr>
        <w:t>吨位丈量</w:t>
      </w:r>
    </w:p>
    <w:p>
      <w:pPr>
        <w:adjustRightInd w:val="0"/>
        <w:snapToGrid w:val="0"/>
        <w:ind w:firstLine="420" w:firstLineChars="200"/>
        <w:rPr>
          <w:szCs w:val="21"/>
        </w:rPr>
      </w:pPr>
      <w:r>
        <w:rPr>
          <w:szCs w:val="21"/>
        </w:rPr>
        <w:t xml:space="preserve">1.3.2.1  </w:t>
      </w:r>
      <w:r>
        <w:rPr>
          <w:rFonts w:hint="eastAsia"/>
          <w:szCs w:val="21"/>
        </w:rPr>
        <w:t>聚乙烯</w:t>
      </w:r>
      <w:r>
        <w:rPr>
          <w:szCs w:val="21"/>
        </w:rPr>
        <w:t>渔船吨位包括总吨位和</w:t>
      </w:r>
      <w:r>
        <w:rPr>
          <w:rFonts w:hint="eastAsia"/>
          <w:szCs w:val="21"/>
        </w:rPr>
        <w:t>净吨位</w:t>
      </w:r>
      <w:r>
        <w:rPr>
          <w:szCs w:val="21"/>
        </w:rPr>
        <w:t>，由船舶检验</w:t>
      </w:r>
      <w:r>
        <w:rPr>
          <w:rFonts w:hint="eastAsia"/>
          <w:szCs w:val="21"/>
        </w:rPr>
        <w:t>机构</w:t>
      </w:r>
      <w:r>
        <w:rPr>
          <w:szCs w:val="21"/>
        </w:rPr>
        <w:t>按照本局</w:t>
      </w:r>
      <w:r>
        <w:rPr>
          <w:rFonts w:hint="eastAsia"/>
          <w:szCs w:val="21"/>
        </w:rPr>
        <w:t>颁布</w:t>
      </w:r>
      <w:r>
        <w:rPr>
          <w:szCs w:val="21"/>
        </w:rPr>
        <w:t>的</w:t>
      </w:r>
      <w:r>
        <w:rPr>
          <w:rFonts w:hint="eastAsia"/>
        </w:rPr>
        <w:t>《吨位丈量规则》</w:t>
      </w:r>
      <w:r>
        <w:rPr>
          <w:rStyle w:val="19"/>
        </w:rPr>
        <w:footnoteReference w:id="1"/>
      </w:r>
      <w:r>
        <w:rPr>
          <w:rFonts w:hint="eastAsia"/>
        </w:rPr>
        <w:t>进行丈量。</w:t>
      </w:r>
    </w:p>
    <w:p>
      <w:pPr>
        <w:spacing w:line="320" w:lineRule="atLeast"/>
        <w:ind w:firstLine="420" w:firstLineChars="200"/>
        <w:rPr>
          <w:szCs w:val="21"/>
        </w:rPr>
      </w:pPr>
      <w:r>
        <w:rPr>
          <w:szCs w:val="21"/>
        </w:rPr>
        <w:br w:type="page"/>
      </w:r>
    </w:p>
    <w:p>
      <w:pPr>
        <w:adjustRightInd w:val="0"/>
        <w:snapToGrid w:val="0"/>
        <w:ind w:firstLine="420" w:firstLineChars="200"/>
        <w:jc w:val="left"/>
        <w:rPr>
          <w:szCs w:val="21"/>
        </w:rPr>
      </w:pPr>
    </w:p>
    <w:p>
      <w:pPr>
        <w:pStyle w:val="2"/>
        <w:autoSpaceDE w:val="0"/>
        <w:autoSpaceDN w:val="0"/>
        <w:snapToGrid/>
        <w:spacing w:before="240" w:after="240" w:line="240" w:lineRule="auto"/>
        <w:textAlignment w:val="baseline"/>
        <w:rPr>
          <w:bCs w:val="0"/>
          <w:szCs w:val="20"/>
        </w:rPr>
      </w:pPr>
      <w:bookmarkStart w:id="15" w:name="_Toc50386749"/>
      <w:bookmarkStart w:id="16" w:name="_Toc70411332"/>
      <w:r>
        <w:rPr>
          <w:bCs w:val="0"/>
          <w:szCs w:val="20"/>
        </w:rPr>
        <w:t>第2</w:t>
      </w:r>
      <w:r>
        <w:rPr>
          <w:rFonts w:hint="eastAsia"/>
          <w:bCs w:val="0"/>
          <w:szCs w:val="20"/>
        </w:rPr>
        <w:t>章</w:t>
      </w:r>
      <w:r>
        <w:rPr>
          <w:bCs w:val="0"/>
          <w:szCs w:val="20"/>
        </w:rPr>
        <w:t xml:space="preserve">  </w:t>
      </w:r>
      <w:r>
        <w:rPr>
          <w:rFonts w:hint="eastAsia"/>
          <w:bCs w:val="0"/>
          <w:szCs w:val="20"/>
        </w:rPr>
        <w:t>检验与发证</w:t>
      </w:r>
      <w:bookmarkEnd w:id="15"/>
      <w:bookmarkEnd w:id="16"/>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17" w:name="_Toc70411333"/>
      <w:bookmarkStart w:id="18" w:name="_Toc50386750"/>
      <w:r>
        <w:rPr>
          <w:rFonts w:eastAsia="楷体"/>
          <w:b w:val="0"/>
          <w:bCs w:val="0"/>
          <w:snapToGrid w:val="0"/>
          <w:kern w:val="0"/>
          <w:sz w:val="28"/>
          <w:szCs w:val="20"/>
        </w:rPr>
        <w:t xml:space="preserve">第1节  </w:t>
      </w:r>
      <w:r>
        <w:rPr>
          <w:rFonts w:hint="eastAsia" w:eastAsia="楷体"/>
          <w:b w:val="0"/>
          <w:bCs w:val="0"/>
          <w:snapToGrid w:val="0"/>
          <w:kern w:val="0"/>
          <w:sz w:val="28"/>
          <w:szCs w:val="20"/>
        </w:rPr>
        <w:t>一般规定</w:t>
      </w:r>
      <w:bookmarkEnd w:id="17"/>
      <w:bookmarkEnd w:id="18"/>
    </w:p>
    <w:p>
      <w:pPr>
        <w:adjustRightInd w:val="0"/>
        <w:snapToGrid w:val="0"/>
        <w:ind w:firstLine="420" w:firstLineChars="200"/>
        <w:rPr>
          <w:szCs w:val="21"/>
        </w:rPr>
      </w:pPr>
      <w:r>
        <w:rPr>
          <w:rFonts w:hint="eastAsia"/>
          <w:szCs w:val="21"/>
        </w:rPr>
        <w:t>2.1.1  本章适用于滚塑成型工艺或焊接成型工艺制成的聚乙烯渔船</w:t>
      </w:r>
      <w:r>
        <w:rPr>
          <w:szCs w:val="21"/>
        </w:rPr>
        <w:t>检验，</w:t>
      </w:r>
      <w:r>
        <w:rPr>
          <w:rFonts w:hint="eastAsia"/>
          <w:szCs w:val="21"/>
        </w:rPr>
        <w:t>验船人员应按本要规范要求实施现场检验：</w:t>
      </w:r>
    </w:p>
    <w:p>
      <w:pPr>
        <w:adjustRightInd w:val="0"/>
        <w:snapToGrid w:val="0"/>
        <w:ind w:firstLine="420" w:firstLineChars="200"/>
        <w:rPr>
          <w:szCs w:val="21"/>
        </w:rPr>
      </w:pPr>
      <w:r>
        <w:rPr>
          <w:rFonts w:hint="eastAsia"/>
          <w:szCs w:val="21"/>
        </w:rPr>
        <w:t>（1）船体结构若采用滚塑成型工艺，应对成型后的聚乙烯材料进行性能试验；</w:t>
      </w:r>
    </w:p>
    <w:p>
      <w:pPr>
        <w:adjustRightInd w:val="0"/>
        <w:snapToGrid w:val="0"/>
        <w:ind w:firstLine="420" w:firstLineChars="200"/>
        <w:rPr>
          <w:szCs w:val="21"/>
        </w:rPr>
      </w:pPr>
      <w:r>
        <w:rPr>
          <w:rFonts w:hint="eastAsia"/>
          <w:szCs w:val="21"/>
        </w:rPr>
        <w:t>（2）船体结构若采用焊接成型工艺，应对所使用的每批次聚乙烯板材、型材进行性能试验。</w:t>
      </w:r>
    </w:p>
    <w:p>
      <w:pPr>
        <w:adjustRightInd w:val="0"/>
        <w:snapToGrid w:val="0"/>
        <w:ind w:firstLine="420" w:firstLineChars="200"/>
        <w:rPr>
          <w:szCs w:val="21"/>
        </w:rPr>
      </w:pPr>
      <w:r>
        <w:rPr>
          <w:rFonts w:hint="eastAsia"/>
          <w:szCs w:val="21"/>
        </w:rPr>
        <w:t xml:space="preserve">2.1.2  </w:t>
      </w:r>
      <w:r>
        <w:rPr>
          <w:rFonts w:hint="eastAsia"/>
          <w:szCs w:val="21"/>
          <w:lang w:val="zh-TW"/>
        </w:rPr>
        <w:t>年度检验和临时检验</w:t>
      </w:r>
      <w:r>
        <w:rPr>
          <w:szCs w:val="21"/>
        </w:rPr>
        <w:t>可通过审查船舶所有人提交的《渔船安全</w:t>
      </w:r>
      <w:r>
        <w:rPr>
          <w:rFonts w:hint="eastAsia"/>
          <w:szCs w:val="21"/>
        </w:rPr>
        <w:t>环保</w:t>
      </w:r>
      <w:r>
        <w:rPr>
          <w:szCs w:val="21"/>
        </w:rPr>
        <w:t>技术状况声明书》的检验方式进行</w:t>
      </w:r>
      <w:r>
        <w:rPr>
          <w:rFonts w:hint="eastAsia"/>
          <w:szCs w:val="21"/>
          <w:lang w:val="zh-TW"/>
        </w:rPr>
        <w:t>，对船舶技术状况有疑问时应实施登船检验</w:t>
      </w:r>
      <w:r>
        <w:rPr>
          <w:rFonts w:hint="eastAsia"/>
          <w:szCs w:val="21"/>
        </w:rPr>
        <w:t>。</w:t>
      </w:r>
    </w:p>
    <w:p>
      <w:pPr>
        <w:adjustRightInd w:val="0"/>
        <w:snapToGrid w:val="0"/>
        <w:ind w:firstLine="420" w:firstLineChars="200"/>
        <w:rPr>
          <w:szCs w:val="21"/>
        </w:rPr>
      </w:pPr>
      <w:r>
        <w:rPr>
          <w:szCs w:val="21"/>
        </w:rPr>
        <w:t xml:space="preserve">2.1.3  </w:t>
      </w:r>
      <w:r>
        <w:rPr>
          <w:rFonts w:hint="eastAsia"/>
          <w:szCs w:val="21"/>
        </w:rPr>
        <w:t>渔船材料性能试验应由有资质的独立试验室进行并取得检测试验报告。</w:t>
      </w:r>
    </w:p>
    <w:p>
      <w:pPr>
        <w:adjustRightInd w:val="0"/>
        <w:snapToGrid w:val="0"/>
        <w:ind w:firstLine="420" w:firstLineChars="200"/>
        <w:rPr>
          <w:szCs w:val="21"/>
        </w:rPr>
      </w:pPr>
      <w:r>
        <w:rPr>
          <w:rFonts w:hint="eastAsia"/>
          <w:szCs w:val="21"/>
        </w:rPr>
        <w:t>2.1.</w:t>
      </w:r>
      <w:r>
        <w:rPr>
          <w:szCs w:val="21"/>
        </w:rPr>
        <w:t>4</w:t>
      </w:r>
      <w:r>
        <w:rPr>
          <w:rFonts w:hint="eastAsia"/>
          <w:szCs w:val="21"/>
        </w:rPr>
        <w:t xml:space="preserve">  渔船的生产工艺应提交船舶检验</w:t>
      </w:r>
      <w:r>
        <w:rPr>
          <w:szCs w:val="21"/>
        </w:rPr>
        <w:t>机构</w:t>
      </w:r>
      <w:r>
        <w:rPr>
          <w:rFonts w:hint="eastAsia"/>
          <w:szCs w:val="21"/>
        </w:rPr>
        <w:t>审查。</w:t>
      </w:r>
    </w:p>
    <w:p>
      <w:pPr>
        <w:adjustRightInd w:val="0"/>
        <w:snapToGrid w:val="0"/>
        <w:ind w:firstLine="420" w:firstLineChars="200"/>
        <w:rPr>
          <w:szCs w:val="21"/>
        </w:rPr>
      </w:pPr>
      <w:r>
        <w:rPr>
          <w:rFonts w:hint="eastAsia"/>
          <w:szCs w:val="21"/>
        </w:rPr>
        <w:t>2.1.</w:t>
      </w:r>
      <w:r>
        <w:rPr>
          <w:szCs w:val="21"/>
        </w:rPr>
        <w:t>5</w:t>
      </w:r>
      <w:r>
        <w:rPr>
          <w:rFonts w:hint="eastAsia"/>
          <w:szCs w:val="21"/>
        </w:rPr>
        <w:t xml:space="preserve">  所有船舶不应设置汽油座舱机。</w:t>
      </w:r>
    </w:p>
    <w:p>
      <w:pPr>
        <w:adjustRightInd w:val="0"/>
        <w:snapToGrid w:val="0"/>
        <w:ind w:firstLine="420" w:firstLineChars="200"/>
        <w:rPr>
          <w:szCs w:val="21"/>
        </w:rPr>
      </w:pPr>
      <w:r>
        <w:rPr>
          <w:rFonts w:hint="eastAsia"/>
          <w:szCs w:val="21"/>
        </w:rPr>
        <w:t>2.1.</w:t>
      </w:r>
      <w:r>
        <w:rPr>
          <w:szCs w:val="21"/>
        </w:rPr>
        <w:t>6</w:t>
      </w:r>
      <w:r>
        <w:rPr>
          <w:rFonts w:hint="eastAsia"/>
          <w:szCs w:val="21"/>
        </w:rPr>
        <w:t xml:space="preserve">  生产中使用</w:t>
      </w:r>
      <w:r>
        <w:rPr>
          <w:szCs w:val="21"/>
        </w:rPr>
        <w:t>的各类板材</w:t>
      </w:r>
      <w:r>
        <w:rPr>
          <w:rFonts w:hint="eastAsia"/>
          <w:szCs w:val="21"/>
        </w:rPr>
        <w:t>（即使</w:t>
      </w:r>
      <w:r>
        <w:rPr>
          <w:szCs w:val="21"/>
        </w:rPr>
        <w:t>主材都是聚乙烯，但是可能会添加色素、防紫外线剂</w:t>
      </w:r>
      <w:r>
        <w:rPr>
          <w:rFonts w:hint="eastAsia"/>
          <w:szCs w:val="21"/>
        </w:rPr>
        <w:t>等</w:t>
      </w:r>
      <w:r>
        <w:rPr>
          <w:szCs w:val="21"/>
        </w:rPr>
        <w:t>）</w:t>
      </w:r>
      <w:r>
        <w:rPr>
          <w:rFonts w:hint="eastAsia"/>
          <w:szCs w:val="21"/>
        </w:rPr>
        <w:t>需要结合开工前</w:t>
      </w:r>
      <w:r>
        <w:rPr>
          <w:szCs w:val="21"/>
        </w:rPr>
        <w:t>检查项目，对其老化特性进行检验。</w:t>
      </w:r>
    </w:p>
    <w:p>
      <w:pPr>
        <w:adjustRightInd w:val="0"/>
        <w:snapToGrid w:val="0"/>
        <w:ind w:firstLine="420" w:firstLineChars="200"/>
        <w:rPr>
          <w:szCs w:val="21"/>
        </w:rPr>
      </w:pPr>
      <w:r>
        <w:rPr>
          <w:rFonts w:hint="eastAsia"/>
          <w:szCs w:val="21"/>
        </w:rPr>
        <w:t>2.1.</w:t>
      </w:r>
      <w:r>
        <w:rPr>
          <w:szCs w:val="21"/>
        </w:rPr>
        <w:t>7</w:t>
      </w:r>
      <w:r>
        <w:rPr>
          <w:rFonts w:hint="eastAsia"/>
          <w:szCs w:val="21"/>
        </w:rPr>
        <w:t xml:space="preserve">  本章</w:t>
      </w:r>
      <w:r>
        <w:rPr>
          <w:szCs w:val="21"/>
        </w:rPr>
        <w:t>规定了船长小于</w:t>
      </w:r>
      <w:r>
        <w:rPr>
          <w:rFonts w:hint="eastAsia"/>
          <w:szCs w:val="21"/>
        </w:rPr>
        <w:t>12m聚乙烯</w:t>
      </w:r>
      <w:r>
        <w:rPr>
          <w:szCs w:val="21"/>
        </w:rPr>
        <w:t>渔船的检验项目</w:t>
      </w:r>
      <w:r>
        <w:rPr>
          <w:rFonts w:hint="eastAsia"/>
          <w:szCs w:val="21"/>
        </w:rPr>
        <w:t>，</w:t>
      </w:r>
      <w:r>
        <w:rPr>
          <w:szCs w:val="21"/>
        </w:rPr>
        <w:t>船长</w:t>
      </w:r>
      <w:r>
        <w:rPr>
          <w:rFonts w:hint="eastAsia"/>
          <w:szCs w:val="21"/>
        </w:rPr>
        <w:t>大于</w:t>
      </w:r>
      <w:r>
        <w:rPr>
          <w:szCs w:val="21"/>
        </w:rPr>
        <w:t>或等于</w:t>
      </w:r>
      <w:r>
        <w:rPr>
          <w:rFonts w:hint="eastAsia"/>
          <w:szCs w:val="21"/>
        </w:rPr>
        <w:t>12m聚乙烯</w:t>
      </w:r>
      <w:r>
        <w:rPr>
          <w:szCs w:val="21"/>
        </w:rPr>
        <w:t>渔船的检验项目</w:t>
      </w:r>
      <w:r>
        <w:rPr>
          <w:rFonts w:hint="eastAsia"/>
          <w:szCs w:val="21"/>
        </w:rPr>
        <w:t>应满足《国内海洋渔船法定检验技术规则（2019）</w:t>
      </w:r>
      <w:r>
        <w:rPr>
          <w:szCs w:val="21"/>
        </w:rPr>
        <w:t>》</w:t>
      </w:r>
      <w:r>
        <w:rPr>
          <w:rFonts w:hint="eastAsia"/>
          <w:szCs w:val="21"/>
        </w:rPr>
        <w:t>第二</w:t>
      </w:r>
      <w:r>
        <w:rPr>
          <w:szCs w:val="21"/>
        </w:rPr>
        <w:t>篇</w:t>
      </w:r>
      <w:r>
        <w:rPr>
          <w:rFonts w:hint="eastAsia"/>
          <w:szCs w:val="21"/>
        </w:rPr>
        <w:t>、《内河渔船法定检验技术规则（2019）</w:t>
      </w:r>
      <w:r>
        <w:rPr>
          <w:szCs w:val="21"/>
        </w:rPr>
        <w:t>》</w:t>
      </w:r>
      <w:r>
        <w:rPr>
          <w:rFonts w:hint="eastAsia"/>
          <w:szCs w:val="21"/>
        </w:rPr>
        <w:t>第二</w:t>
      </w:r>
      <w:r>
        <w:rPr>
          <w:szCs w:val="21"/>
        </w:rPr>
        <w:t>篇</w:t>
      </w:r>
      <w:r>
        <w:rPr>
          <w:rFonts w:hint="eastAsia"/>
          <w:szCs w:val="21"/>
        </w:rPr>
        <w:t>的</w:t>
      </w:r>
      <w:r>
        <w:rPr>
          <w:szCs w:val="21"/>
        </w:rPr>
        <w:t>规定。</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19" w:name="_Toc70411334"/>
      <w:bookmarkStart w:id="20" w:name="_Toc50386751"/>
      <w:r>
        <w:rPr>
          <w:rFonts w:eastAsia="楷体"/>
          <w:b w:val="0"/>
          <w:bCs w:val="0"/>
          <w:snapToGrid w:val="0"/>
          <w:kern w:val="0"/>
          <w:sz w:val="28"/>
          <w:szCs w:val="20"/>
        </w:rPr>
        <w:t xml:space="preserve">第2节  </w:t>
      </w:r>
      <w:r>
        <w:rPr>
          <w:rFonts w:hint="eastAsia" w:eastAsia="楷体"/>
          <w:b w:val="0"/>
          <w:bCs w:val="0"/>
          <w:snapToGrid w:val="0"/>
          <w:kern w:val="0"/>
          <w:sz w:val="28"/>
          <w:szCs w:val="20"/>
        </w:rPr>
        <w:t>初次检验</w:t>
      </w:r>
      <w:bookmarkEnd w:id="19"/>
      <w:bookmarkEnd w:id="20"/>
    </w:p>
    <w:p>
      <w:pPr>
        <w:adjustRightInd w:val="0"/>
        <w:snapToGrid w:val="0"/>
        <w:ind w:firstLine="422" w:firstLineChars="200"/>
        <w:rPr>
          <w:b/>
          <w:szCs w:val="21"/>
        </w:rPr>
      </w:pPr>
      <w:r>
        <w:rPr>
          <w:rFonts w:hint="eastAsia"/>
          <w:b/>
          <w:szCs w:val="21"/>
        </w:rPr>
        <w:t>2.2.1  工艺</w:t>
      </w:r>
    </w:p>
    <w:p>
      <w:pPr>
        <w:adjustRightInd w:val="0"/>
        <w:snapToGrid w:val="0"/>
        <w:ind w:firstLine="420" w:firstLineChars="200"/>
        <w:rPr>
          <w:szCs w:val="21"/>
        </w:rPr>
      </w:pPr>
      <w:r>
        <w:rPr>
          <w:rFonts w:hint="eastAsia"/>
          <w:szCs w:val="21"/>
        </w:rPr>
        <w:t>2.2.1.1  对每批（艘）新建船舶，船厂应将生产建造工艺文件提交船舶检验机构审查，工艺文件应包括以下内容：</w:t>
      </w:r>
    </w:p>
    <w:p>
      <w:pPr>
        <w:adjustRightInd w:val="0"/>
        <w:snapToGrid w:val="0"/>
        <w:ind w:firstLine="420" w:firstLineChars="200"/>
        <w:rPr>
          <w:szCs w:val="21"/>
        </w:rPr>
      </w:pPr>
      <w:r>
        <w:rPr>
          <w:rFonts w:hint="eastAsia"/>
          <w:szCs w:val="21"/>
        </w:rPr>
        <w:t>（1）滚塑成型工艺、成型模具制作工艺（如适用）；</w:t>
      </w:r>
    </w:p>
    <w:p>
      <w:pPr>
        <w:adjustRightInd w:val="0"/>
        <w:snapToGrid w:val="0"/>
        <w:ind w:firstLine="420" w:firstLineChars="200"/>
        <w:rPr>
          <w:szCs w:val="21"/>
        </w:rPr>
      </w:pPr>
      <w:r>
        <w:rPr>
          <w:rFonts w:hint="eastAsia"/>
          <w:szCs w:val="21"/>
        </w:rPr>
        <w:t>（</w:t>
      </w:r>
      <w:r>
        <w:rPr>
          <w:szCs w:val="21"/>
        </w:rPr>
        <w:t>2</w:t>
      </w:r>
      <w:r>
        <w:rPr>
          <w:rFonts w:hint="eastAsia"/>
          <w:szCs w:val="21"/>
        </w:rPr>
        <w:t>）焊接工艺、板材切削工艺、板材曲面成型工艺（如适用）；</w:t>
      </w:r>
    </w:p>
    <w:p>
      <w:pPr>
        <w:adjustRightInd w:val="0"/>
        <w:snapToGrid w:val="0"/>
        <w:ind w:firstLine="420" w:firstLineChars="200"/>
        <w:rPr>
          <w:szCs w:val="21"/>
        </w:rPr>
      </w:pPr>
      <w:r>
        <w:rPr>
          <w:rFonts w:hint="eastAsia"/>
          <w:szCs w:val="21"/>
        </w:rPr>
        <w:t>（</w:t>
      </w:r>
      <w:r>
        <w:rPr>
          <w:szCs w:val="21"/>
        </w:rPr>
        <w:t>3</w:t>
      </w:r>
      <w:r>
        <w:rPr>
          <w:rFonts w:hint="eastAsia"/>
          <w:szCs w:val="21"/>
        </w:rPr>
        <w:t>）缺陷修复工艺；</w:t>
      </w:r>
    </w:p>
    <w:p>
      <w:pPr>
        <w:adjustRightInd w:val="0"/>
        <w:snapToGrid w:val="0"/>
        <w:ind w:firstLine="420" w:firstLineChars="200"/>
        <w:rPr>
          <w:szCs w:val="21"/>
        </w:rPr>
      </w:pPr>
      <w:r>
        <w:rPr>
          <w:rFonts w:hint="eastAsia"/>
          <w:szCs w:val="21"/>
        </w:rPr>
        <w:t>（</w:t>
      </w:r>
      <w:r>
        <w:rPr>
          <w:szCs w:val="21"/>
        </w:rPr>
        <w:t>4</w:t>
      </w:r>
      <w:r>
        <w:rPr>
          <w:rFonts w:hint="eastAsia"/>
          <w:szCs w:val="21"/>
        </w:rPr>
        <w:t>）试验方法；</w:t>
      </w:r>
    </w:p>
    <w:p>
      <w:pPr>
        <w:adjustRightInd w:val="0"/>
        <w:snapToGrid w:val="0"/>
        <w:ind w:firstLine="420" w:firstLineChars="200"/>
        <w:rPr>
          <w:szCs w:val="21"/>
        </w:rPr>
      </w:pPr>
      <w:r>
        <w:rPr>
          <w:rFonts w:hint="eastAsia"/>
          <w:szCs w:val="21"/>
        </w:rPr>
        <w:t>（</w:t>
      </w:r>
      <w:r>
        <w:rPr>
          <w:szCs w:val="21"/>
        </w:rPr>
        <w:t>5</w:t>
      </w:r>
      <w:r>
        <w:rPr>
          <w:rFonts w:hint="eastAsia"/>
          <w:szCs w:val="21"/>
        </w:rPr>
        <w:t>）检验和质量控制制度及标准；</w:t>
      </w:r>
    </w:p>
    <w:p>
      <w:pPr>
        <w:adjustRightInd w:val="0"/>
        <w:snapToGrid w:val="0"/>
        <w:ind w:firstLine="420" w:firstLineChars="200"/>
        <w:rPr>
          <w:szCs w:val="21"/>
        </w:rPr>
      </w:pPr>
      <w:r>
        <w:rPr>
          <w:rFonts w:hint="eastAsia"/>
          <w:szCs w:val="21"/>
        </w:rPr>
        <w:t>（</w:t>
      </w:r>
      <w:r>
        <w:rPr>
          <w:szCs w:val="21"/>
        </w:rPr>
        <w:t>6</w:t>
      </w:r>
      <w:r>
        <w:rPr>
          <w:rFonts w:hint="eastAsia"/>
          <w:szCs w:val="21"/>
        </w:rPr>
        <w:t>）船舶检验机构需要提交的其他工艺文件。</w:t>
      </w:r>
    </w:p>
    <w:p>
      <w:pPr>
        <w:adjustRightInd w:val="0"/>
        <w:snapToGrid w:val="0"/>
        <w:ind w:firstLine="420" w:firstLineChars="200"/>
        <w:rPr>
          <w:szCs w:val="21"/>
        </w:rPr>
      </w:pPr>
      <w:r>
        <w:rPr>
          <w:rFonts w:hint="eastAsia"/>
          <w:szCs w:val="21"/>
        </w:rPr>
        <w:t>2.2.1.2  其他</w:t>
      </w:r>
      <w:r>
        <w:rPr>
          <w:szCs w:val="21"/>
        </w:rPr>
        <w:t>应</w:t>
      </w:r>
      <w:r>
        <w:rPr>
          <w:rFonts w:hint="eastAsia"/>
          <w:szCs w:val="21"/>
        </w:rPr>
        <w:t>参照本暂行规则第</w:t>
      </w:r>
      <w:r>
        <w:rPr>
          <w:szCs w:val="21"/>
        </w:rPr>
        <w:t>3</w:t>
      </w:r>
      <w:r>
        <w:rPr>
          <w:rFonts w:hint="eastAsia"/>
          <w:szCs w:val="21"/>
        </w:rPr>
        <w:t>章第3节的有关规定提交</w:t>
      </w:r>
      <w:r>
        <w:rPr>
          <w:szCs w:val="21"/>
        </w:rPr>
        <w:t>文件</w:t>
      </w:r>
      <w:r>
        <w:rPr>
          <w:rFonts w:hint="eastAsia"/>
          <w:szCs w:val="21"/>
        </w:rPr>
        <w:t>。</w:t>
      </w:r>
    </w:p>
    <w:p>
      <w:pPr>
        <w:adjustRightInd w:val="0"/>
        <w:snapToGrid w:val="0"/>
        <w:ind w:firstLine="420" w:firstLineChars="200"/>
        <w:rPr>
          <w:szCs w:val="21"/>
        </w:rPr>
      </w:pPr>
    </w:p>
    <w:p>
      <w:pPr>
        <w:adjustRightInd w:val="0"/>
        <w:snapToGrid w:val="0"/>
        <w:ind w:firstLine="422" w:firstLineChars="200"/>
        <w:rPr>
          <w:b/>
          <w:szCs w:val="21"/>
        </w:rPr>
      </w:pPr>
      <w:r>
        <w:rPr>
          <w:rFonts w:hint="eastAsia"/>
          <w:b/>
          <w:szCs w:val="21"/>
        </w:rPr>
        <w:t>2.2.2  材料检验</w:t>
      </w:r>
    </w:p>
    <w:p>
      <w:pPr>
        <w:adjustRightInd w:val="0"/>
        <w:snapToGrid w:val="0"/>
        <w:ind w:firstLine="420" w:firstLineChars="200"/>
        <w:rPr>
          <w:szCs w:val="21"/>
        </w:rPr>
      </w:pPr>
      <w:r>
        <w:rPr>
          <w:rFonts w:hint="eastAsia"/>
          <w:szCs w:val="21"/>
        </w:rPr>
        <w:t>2.2.2.1</w:t>
      </w:r>
      <w:r>
        <w:rPr>
          <w:szCs w:val="21"/>
        </w:rPr>
        <w:t xml:space="preserve">  </w:t>
      </w:r>
      <w:r>
        <w:rPr>
          <w:rFonts w:hint="eastAsia"/>
          <w:szCs w:val="21"/>
        </w:rPr>
        <w:t>制造厂应提交原材料的出厂说明书，提交原材料的物理、化学、力学性能数据和有关资料。</w:t>
      </w:r>
    </w:p>
    <w:p>
      <w:pPr>
        <w:adjustRightInd w:val="0"/>
        <w:snapToGrid w:val="0"/>
        <w:ind w:firstLine="420" w:firstLineChars="200"/>
        <w:rPr>
          <w:szCs w:val="21"/>
        </w:rPr>
      </w:pPr>
      <w:r>
        <w:rPr>
          <w:rFonts w:hint="eastAsia"/>
          <w:szCs w:val="21"/>
        </w:rPr>
        <w:t>2.2.2.</w:t>
      </w:r>
      <w:r>
        <w:rPr>
          <w:szCs w:val="21"/>
        </w:rPr>
        <w:t xml:space="preserve">2  </w:t>
      </w:r>
      <w:r>
        <w:rPr>
          <w:rFonts w:hint="eastAsia"/>
          <w:szCs w:val="21"/>
        </w:rPr>
        <w:t>对原材料的检验方式</w:t>
      </w:r>
      <w:r>
        <w:rPr>
          <w:szCs w:val="21"/>
        </w:rPr>
        <w:t>、性能指标以及相应的检测标准</w:t>
      </w:r>
      <w:r>
        <w:rPr>
          <w:rFonts w:hint="eastAsia"/>
          <w:szCs w:val="21"/>
        </w:rPr>
        <w:t>应按第3章第2节的有关规定进行。</w:t>
      </w:r>
    </w:p>
    <w:p>
      <w:pPr>
        <w:adjustRightInd w:val="0"/>
        <w:snapToGrid w:val="0"/>
        <w:ind w:firstLine="420" w:firstLineChars="200"/>
        <w:rPr>
          <w:szCs w:val="21"/>
        </w:rPr>
      </w:pPr>
      <w:r>
        <w:rPr>
          <w:rFonts w:hint="eastAsia"/>
          <w:szCs w:val="21"/>
        </w:rPr>
        <w:t>2.2.2.</w:t>
      </w:r>
      <w:r>
        <w:rPr>
          <w:szCs w:val="21"/>
        </w:rPr>
        <w:t xml:space="preserve">3  </w:t>
      </w:r>
      <w:r>
        <w:rPr>
          <w:rFonts w:hint="eastAsia"/>
          <w:szCs w:val="21"/>
        </w:rPr>
        <w:t>成型板材的力学性能应经质量监督机构认可单位检测并出具试验报告。</w:t>
      </w:r>
    </w:p>
    <w:p>
      <w:pPr>
        <w:adjustRightInd w:val="0"/>
        <w:snapToGrid w:val="0"/>
        <w:ind w:firstLine="420" w:firstLineChars="200"/>
        <w:rPr>
          <w:szCs w:val="21"/>
        </w:rPr>
      </w:pPr>
      <w:r>
        <w:rPr>
          <w:rFonts w:hint="eastAsia"/>
          <w:szCs w:val="21"/>
        </w:rPr>
        <w:t>2.2.2.</w:t>
      </w:r>
      <w:r>
        <w:rPr>
          <w:szCs w:val="21"/>
        </w:rPr>
        <w:t xml:space="preserve">4  </w:t>
      </w:r>
      <w:r>
        <w:rPr>
          <w:rFonts w:hint="eastAsia"/>
          <w:szCs w:val="21"/>
        </w:rPr>
        <w:t>核查各种添加剂的使用说明书，确认其性质，作用和用量符合使用要求。</w:t>
      </w:r>
    </w:p>
    <w:p>
      <w:pPr>
        <w:adjustRightInd w:val="0"/>
        <w:snapToGrid w:val="0"/>
        <w:ind w:firstLine="420" w:firstLineChars="200"/>
        <w:rPr>
          <w:szCs w:val="21"/>
        </w:rPr>
      </w:pPr>
      <w:r>
        <w:rPr>
          <w:rFonts w:hint="eastAsia"/>
          <w:szCs w:val="21"/>
        </w:rPr>
        <w:t>2.2.2.</w:t>
      </w:r>
      <w:r>
        <w:rPr>
          <w:szCs w:val="21"/>
        </w:rPr>
        <w:t xml:space="preserve">5  </w:t>
      </w:r>
      <w:r>
        <w:rPr>
          <w:rFonts w:hint="eastAsia"/>
          <w:szCs w:val="21"/>
        </w:rPr>
        <w:t>核查脱模剂的使用说明书，确认脱模剂满足热成型的要求。</w:t>
      </w:r>
    </w:p>
    <w:p>
      <w:pPr>
        <w:adjustRightInd w:val="0"/>
        <w:snapToGrid w:val="0"/>
        <w:ind w:firstLine="420" w:firstLineChars="200"/>
        <w:rPr>
          <w:szCs w:val="21"/>
        </w:rPr>
      </w:pPr>
      <w:r>
        <w:rPr>
          <w:rFonts w:hint="eastAsia"/>
          <w:szCs w:val="21"/>
        </w:rPr>
        <w:t>2.2.</w:t>
      </w:r>
      <w:r>
        <w:rPr>
          <w:szCs w:val="21"/>
        </w:rPr>
        <w:t>2</w:t>
      </w:r>
      <w:r>
        <w:rPr>
          <w:rFonts w:hint="eastAsia"/>
          <w:szCs w:val="21"/>
        </w:rPr>
        <w:t>.</w:t>
      </w:r>
      <w:r>
        <w:rPr>
          <w:szCs w:val="21"/>
        </w:rPr>
        <w:t>6</w:t>
      </w:r>
      <w:r>
        <w:rPr>
          <w:rFonts w:hint="eastAsia"/>
          <w:szCs w:val="21"/>
        </w:rPr>
        <w:t xml:space="preserve"> </w:t>
      </w:r>
      <w:r>
        <w:rPr>
          <w:szCs w:val="21"/>
        </w:rPr>
        <w:t xml:space="preserve"> </w:t>
      </w:r>
      <w:r>
        <w:rPr>
          <w:rFonts w:hint="eastAsia"/>
          <w:szCs w:val="21"/>
        </w:rPr>
        <w:t>若采用第3章规定以外的代用材料，应征得船舶检验具体实施机构同意后方可使用，并须在完工图纸或有关文件上注明。</w:t>
      </w:r>
    </w:p>
    <w:p>
      <w:pPr>
        <w:adjustRightInd w:val="0"/>
        <w:snapToGrid w:val="0"/>
        <w:ind w:firstLine="420" w:firstLineChars="200"/>
        <w:rPr>
          <w:szCs w:val="21"/>
        </w:rPr>
      </w:pPr>
    </w:p>
    <w:p>
      <w:pPr>
        <w:adjustRightInd w:val="0"/>
        <w:snapToGrid w:val="0"/>
        <w:ind w:firstLine="422" w:firstLineChars="200"/>
        <w:rPr>
          <w:b/>
          <w:szCs w:val="21"/>
        </w:rPr>
      </w:pPr>
      <w:r>
        <w:rPr>
          <w:rFonts w:hint="eastAsia"/>
          <w:b/>
          <w:szCs w:val="21"/>
        </w:rPr>
        <w:t>2.2.</w:t>
      </w:r>
      <w:r>
        <w:rPr>
          <w:b/>
          <w:szCs w:val="21"/>
        </w:rPr>
        <w:t>3</w:t>
      </w:r>
      <w:r>
        <w:rPr>
          <w:rFonts w:hint="eastAsia"/>
          <w:b/>
          <w:szCs w:val="21"/>
        </w:rPr>
        <w:t xml:space="preserve">  船体</w:t>
      </w:r>
      <w:r>
        <w:rPr>
          <w:b/>
          <w:szCs w:val="21"/>
        </w:rPr>
        <w:t>检验</w:t>
      </w:r>
    </w:p>
    <w:p>
      <w:pPr>
        <w:adjustRightInd w:val="0"/>
        <w:snapToGrid w:val="0"/>
        <w:ind w:firstLine="420" w:firstLineChars="200"/>
        <w:rPr>
          <w:b/>
          <w:szCs w:val="21"/>
        </w:rPr>
      </w:pPr>
      <w:r>
        <w:rPr>
          <w:rFonts w:hint="eastAsia"/>
          <w:szCs w:val="21"/>
        </w:rPr>
        <w:t>2.2.</w:t>
      </w:r>
      <w:r>
        <w:rPr>
          <w:szCs w:val="21"/>
        </w:rPr>
        <w:t>3</w:t>
      </w:r>
      <w:r>
        <w:rPr>
          <w:rFonts w:hint="eastAsia"/>
          <w:szCs w:val="21"/>
        </w:rPr>
        <w:t>.</w:t>
      </w:r>
      <w:r>
        <w:rPr>
          <w:szCs w:val="21"/>
        </w:rPr>
        <w:t>1</w:t>
      </w:r>
      <w:r>
        <w:rPr>
          <w:rFonts w:hint="eastAsia"/>
          <w:szCs w:val="21"/>
        </w:rPr>
        <w:t xml:space="preserve">  厚度检验</w:t>
      </w:r>
    </w:p>
    <w:p>
      <w:pPr>
        <w:adjustRightInd w:val="0"/>
        <w:snapToGrid w:val="0"/>
        <w:ind w:firstLine="420" w:firstLineChars="200"/>
        <w:rPr>
          <w:szCs w:val="21"/>
        </w:rPr>
      </w:pPr>
      <w:r>
        <w:rPr>
          <w:rFonts w:hint="eastAsia"/>
          <w:szCs w:val="21"/>
        </w:rPr>
        <w:t>（1）厚度测量应在船舶的首部、中前、中部、中后及尾部每一截面上各取具有代表性的3个点（共15个点）进行测量，且任一点的测量值不低于标准值的85%时，则视船体外板厚度符合要求。</w:t>
      </w:r>
    </w:p>
    <w:p>
      <w:pPr>
        <w:adjustRightInd w:val="0"/>
        <w:snapToGrid w:val="0"/>
        <w:ind w:firstLine="420" w:firstLineChars="200"/>
        <w:rPr>
          <w:szCs w:val="21"/>
        </w:rPr>
      </w:pPr>
      <w:r>
        <w:rPr>
          <w:rFonts w:hint="eastAsia"/>
          <w:szCs w:val="21"/>
        </w:rPr>
        <w:t>（2）若船体采用焊接工艺成型，则取样点可取为连续板材的任意位置。</w:t>
      </w:r>
    </w:p>
    <w:p>
      <w:pPr>
        <w:adjustRightInd w:val="0"/>
        <w:snapToGrid w:val="0"/>
        <w:ind w:firstLine="420" w:firstLineChars="200"/>
        <w:rPr>
          <w:szCs w:val="21"/>
        </w:rPr>
      </w:pPr>
      <w:r>
        <w:rPr>
          <w:rFonts w:hint="eastAsia"/>
          <w:szCs w:val="21"/>
        </w:rPr>
        <w:t>（3）若采用有损检测，应采用机械钻孔的形式，且钻孔直径不大于</w:t>
      </w:r>
      <w:r>
        <w:rPr>
          <w:szCs w:val="21"/>
        </w:rPr>
        <w:t>5mm</w:t>
      </w:r>
      <w:r>
        <w:rPr>
          <w:rFonts w:hint="eastAsia"/>
          <w:szCs w:val="21"/>
        </w:rPr>
        <w:t>。检验完毕后，应即刻修复。</w:t>
      </w:r>
    </w:p>
    <w:p>
      <w:pPr>
        <w:adjustRightInd w:val="0"/>
        <w:snapToGrid w:val="0"/>
        <w:ind w:firstLine="420" w:firstLineChars="200"/>
        <w:rPr>
          <w:szCs w:val="21"/>
        </w:rPr>
      </w:pPr>
      <w:r>
        <w:rPr>
          <w:rFonts w:hint="eastAsia"/>
          <w:szCs w:val="21"/>
        </w:rPr>
        <w:t>（4）建造</w:t>
      </w:r>
      <w:r>
        <w:rPr>
          <w:szCs w:val="21"/>
        </w:rPr>
        <w:t>单位</w:t>
      </w:r>
      <w:r>
        <w:rPr>
          <w:rFonts w:hint="eastAsia"/>
          <w:szCs w:val="21"/>
        </w:rPr>
        <w:t>应提供船壳板厚度测量报告。</w:t>
      </w:r>
    </w:p>
    <w:p>
      <w:pPr>
        <w:adjustRightInd w:val="0"/>
        <w:snapToGrid w:val="0"/>
        <w:ind w:firstLine="420" w:firstLineChars="200"/>
        <w:rPr>
          <w:szCs w:val="21"/>
        </w:rPr>
      </w:pPr>
      <w:r>
        <w:rPr>
          <w:rFonts w:hint="eastAsia"/>
          <w:szCs w:val="21"/>
        </w:rPr>
        <w:t>2.2.</w:t>
      </w:r>
      <w:r>
        <w:rPr>
          <w:szCs w:val="21"/>
        </w:rPr>
        <w:t>3</w:t>
      </w:r>
      <w:r>
        <w:rPr>
          <w:rFonts w:hint="eastAsia"/>
          <w:szCs w:val="21"/>
        </w:rPr>
        <w:t>.</w:t>
      </w:r>
      <w:r>
        <w:rPr>
          <w:szCs w:val="21"/>
        </w:rPr>
        <w:t xml:space="preserve">2  </w:t>
      </w:r>
      <w:r>
        <w:rPr>
          <w:rFonts w:hint="eastAsia"/>
          <w:szCs w:val="21"/>
        </w:rPr>
        <w:t>船体构件和焊缝的检查</w:t>
      </w:r>
    </w:p>
    <w:p>
      <w:pPr>
        <w:adjustRightInd w:val="0"/>
        <w:snapToGrid w:val="0"/>
        <w:ind w:firstLine="420" w:firstLineChars="200"/>
        <w:rPr>
          <w:szCs w:val="21"/>
        </w:rPr>
      </w:pPr>
      <w:r>
        <w:rPr>
          <w:rFonts w:hint="eastAsia"/>
          <w:szCs w:val="21"/>
        </w:rPr>
        <w:t>（1）应对主船体内部构件、甲板及甲板室结构进行检查，其规格尺寸应符合要求。</w:t>
      </w:r>
    </w:p>
    <w:p>
      <w:pPr>
        <w:adjustRightInd w:val="0"/>
        <w:snapToGrid w:val="0"/>
        <w:ind w:firstLine="420" w:firstLineChars="200"/>
        <w:rPr>
          <w:szCs w:val="21"/>
        </w:rPr>
      </w:pPr>
      <w:r>
        <w:rPr>
          <w:rFonts w:hint="eastAsia"/>
          <w:szCs w:val="21"/>
        </w:rPr>
        <w:t>（2）检查内部构件的连接和焊接情况。</w:t>
      </w:r>
    </w:p>
    <w:p>
      <w:pPr>
        <w:adjustRightInd w:val="0"/>
        <w:snapToGrid w:val="0"/>
        <w:ind w:firstLine="420" w:firstLineChars="200"/>
        <w:rPr>
          <w:szCs w:val="21"/>
        </w:rPr>
      </w:pPr>
      <w:r>
        <w:rPr>
          <w:rFonts w:hint="eastAsia"/>
          <w:szCs w:val="21"/>
        </w:rPr>
        <w:t>（3）外板及甲板的焊缝不允许存在任何外观缺陷，如有，需即刻修复。</w:t>
      </w:r>
    </w:p>
    <w:p>
      <w:pPr>
        <w:adjustRightInd w:val="0"/>
        <w:snapToGrid w:val="0"/>
        <w:ind w:firstLine="420" w:firstLineChars="200"/>
        <w:rPr>
          <w:szCs w:val="21"/>
        </w:rPr>
      </w:pPr>
      <w:r>
        <w:rPr>
          <w:rFonts w:hint="eastAsia"/>
          <w:szCs w:val="21"/>
        </w:rPr>
        <w:t>2.2.</w:t>
      </w:r>
      <w:r>
        <w:rPr>
          <w:szCs w:val="21"/>
        </w:rPr>
        <w:t>3</w:t>
      </w:r>
      <w:r>
        <w:rPr>
          <w:rFonts w:hint="eastAsia"/>
          <w:szCs w:val="21"/>
        </w:rPr>
        <w:t>.</w:t>
      </w:r>
      <w:r>
        <w:rPr>
          <w:szCs w:val="21"/>
        </w:rPr>
        <w:t xml:space="preserve">3  </w:t>
      </w:r>
      <w:r>
        <w:rPr>
          <w:rFonts w:hint="eastAsia"/>
          <w:szCs w:val="21"/>
        </w:rPr>
        <w:t>船体密性试验</w:t>
      </w:r>
    </w:p>
    <w:p>
      <w:pPr>
        <w:adjustRightInd w:val="0"/>
        <w:snapToGrid w:val="0"/>
        <w:ind w:firstLine="420" w:firstLineChars="200"/>
        <w:rPr>
          <w:szCs w:val="21"/>
        </w:rPr>
      </w:pPr>
      <w:r>
        <w:rPr>
          <w:rFonts w:hint="eastAsia"/>
          <w:szCs w:val="21"/>
        </w:rPr>
        <w:t>（1）聚乙烯渔船均应进行船体密性试验，密性试验分为灌水试验和冲水试验。</w:t>
      </w:r>
    </w:p>
    <w:p>
      <w:pPr>
        <w:adjustRightInd w:val="0"/>
        <w:snapToGrid w:val="0"/>
        <w:ind w:firstLine="420" w:firstLineChars="200"/>
        <w:rPr>
          <w:szCs w:val="21"/>
        </w:rPr>
      </w:pPr>
      <w:r>
        <w:rPr>
          <w:rFonts w:hint="eastAsia"/>
          <w:szCs w:val="21"/>
        </w:rPr>
        <w:t>（2）密性试验前，确认结构的装配工作已全部完成。</w:t>
      </w:r>
    </w:p>
    <w:p>
      <w:pPr>
        <w:adjustRightInd w:val="0"/>
        <w:snapToGrid w:val="0"/>
        <w:ind w:firstLine="420" w:firstLineChars="200"/>
        <w:rPr>
          <w:szCs w:val="21"/>
        </w:rPr>
      </w:pPr>
      <w:r>
        <w:rPr>
          <w:rFonts w:hint="eastAsia"/>
          <w:szCs w:val="21"/>
        </w:rPr>
        <w:t>（3）对要求水密的结构（如首、尾尖舱、机舱等）应进行灌水试验。对内部没有妨碍检查的结构，可利用舷外水压力代替灌水试验。</w:t>
      </w:r>
    </w:p>
    <w:p>
      <w:pPr>
        <w:adjustRightInd w:val="0"/>
        <w:snapToGrid w:val="0"/>
        <w:ind w:firstLine="420" w:firstLineChars="200"/>
        <w:rPr>
          <w:szCs w:val="21"/>
        </w:rPr>
      </w:pPr>
      <w:r>
        <w:rPr>
          <w:rFonts w:hint="eastAsia"/>
          <w:szCs w:val="21"/>
        </w:rPr>
        <w:t>（4）灌水试验或浸水试验的时间应不小于</w:t>
      </w:r>
      <w:r>
        <w:rPr>
          <w:szCs w:val="21"/>
        </w:rPr>
        <w:t>4h</w:t>
      </w:r>
      <w:r>
        <w:rPr>
          <w:rFonts w:hint="eastAsia"/>
          <w:szCs w:val="21"/>
        </w:rPr>
        <w:t>，且应无渗漏现象。</w:t>
      </w:r>
    </w:p>
    <w:p>
      <w:pPr>
        <w:adjustRightInd w:val="0"/>
        <w:snapToGrid w:val="0"/>
        <w:ind w:firstLine="420" w:firstLineChars="200"/>
        <w:rPr>
          <w:szCs w:val="21"/>
        </w:rPr>
      </w:pPr>
      <w:r>
        <w:rPr>
          <w:rFonts w:hint="eastAsia"/>
          <w:szCs w:val="21"/>
        </w:rPr>
        <w:t>（5）对要求风雨密的结构应进行冲水试验，试验中该结构应无明显的渗漏现象。冲水试验时，冲水软管的水压应不小于</w:t>
      </w:r>
      <w:r>
        <w:rPr>
          <w:szCs w:val="21"/>
        </w:rPr>
        <w:t>0.2MPa</w:t>
      </w:r>
      <w:r>
        <w:rPr>
          <w:rFonts w:hint="eastAsia"/>
          <w:szCs w:val="21"/>
        </w:rPr>
        <w:t>，喷嘴内径应不小于</w:t>
      </w:r>
      <w:r>
        <w:rPr>
          <w:szCs w:val="21"/>
        </w:rPr>
        <w:t>12.5mm</w:t>
      </w:r>
      <w:r>
        <w:rPr>
          <w:rFonts w:hint="eastAsia"/>
          <w:szCs w:val="21"/>
        </w:rPr>
        <w:t>，喷嘴离被试对象的距离应不大于</w:t>
      </w:r>
      <w:r>
        <w:rPr>
          <w:szCs w:val="21"/>
        </w:rPr>
        <w:t>1.5m</w:t>
      </w:r>
      <w:r>
        <w:rPr>
          <w:rFonts w:hint="eastAsia"/>
          <w:szCs w:val="21"/>
        </w:rPr>
        <w:t>，水柱移动的速度应不大于</w:t>
      </w:r>
      <w:r>
        <w:rPr>
          <w:szCs w:val="21"/>
        </w:rPr>
        <w:t>0.1m/s</w:t>
      </w:r>
      <w:r>
        <w:rPr>
          <w:rFonts w:hint="eastAsia"/>
          <w:szCs w:val="21"/>
        </w:rPr>
        <w:t>。</w:t>
      </w:r>
    </w:p>
    <w:p>
      <w:pPr>
        <w:adjustRightInd w:val="0"/>
        <w:snapToGrid w:val="0"/>
        <w:ind w:firstLine="420" w:firstLineChars="200"/>
        <w:rPr>
          <w:szCs w:val="21"/>
        </w:rPr>
      </w:pPr>
      <w:r>
        <w:rPr>
          <w:rFonts w:hint="eastAsia"/>
          <w:szCs w:val="21"/>
        </w:rPr>
        <w:t>2.2.</w:t>
      </w:r>
      <w:r>
        <w:rPr>
          <w:szCs w:val="21"/>
        </w:rPr>
        <w:t>3</w:t>
      </w:r>
      <w:r>
        <w:rPr>
          <w:rFonts w:hint="eastAsia"/>
          <w:szCs w:val="21"/>
        </w:rPr>
        <w:t>.</w:t>
      </w:r>
      <w:r>
        <w:rPr>
          <w:szCs w:val="21"/>
        </w:rPr>
        <w:t xml:space="preserve">4  </w:t>
      </w:r>
      <w:r>
        <w:rPr>
          <w:rFonts w:hint="eastAsia"/>
          <w:szCs w:val="21"/>
        </w:rPr>
        <w:t>船体</w:t>
      </w:r>
      <w:r>
        <w:rPr>
          <w:szCs w:val="21"/>
        </w:rPr>
        <w:t>其他检验项目</w:t>
      </w:r>
    </w:p>
    <w:p>
      <w:pPr>
        <w:adjustRightInd w:val="0"/>
        <w:snapToGrid w:val="0"/>
        <w:ind w:firstLine="420" w:firstLineChars="200"/>
        <w:rPr>
          <w:color w:val="000000"/>
        </w:rPr>
      </w:pPr>
      <w:r>
        <w:rPr>
          <w:rFonts w:hint="eastAsia"/>
          <w:szCs w:val="21"/>
        </w:rPr>
        <w:t>（1）</w:t>
      </w:r>
      <w:r>
        <w:rPr>
          <w:color w:val="000000"/>
        </w:rPr>
        <w:t>现场监督测量渔船主尺度</w:t>
      </w:r>
      <w:r>
        <w:rPr>
          <w:rFonts w:hint="eastAsia"/>
          <w:color w:val="000000"/>
        </w:rPr>
        <w:t>。</w:t>
      </w:r>
    </w:p>
    <w:p>
      <w:pPr>
        <w:adjustRightInd w:val="0"/>
        <w:snapToGrid w:val="0"/>
        <w:ind w:firstLine="420" w:firstLineChars="200"/>
        <w:rPr>
          <w:color w:val="000000"/>
        </w:rPr>
      </w:pPr>
      <w:r>
        <w:rPr>
          <w:rFonts w:hint="eastAsia"/>
          <w:szCs w:val="21"/>
        </w:rPr>
        <w:t>（2）</w:t>
      </w:r>
      <w:r>
        <w:rPr>
          <w:color w:val="000000"/>
        </w:rPr>
        <w:t>检查载重线标志、水尺勘划的正确性</w:t>
      </w:r>
      <w:r>
        <w:rPr>
          <w:rFonts w:hint="eastAsia"/>
          <w:color w:val="000000"/>
        </w:rPr>
        <w:t>。</w:t>
      </w:r>
    </w:p>
    <w:p>
      <w:pPr>
        <w:adjustRightInd w:val="0"/>
        <w:snapToGrid w:val="0"/>
        <w:ind w:firstLine="420" w:firstLineChars="200"/>
        <w:rPr>
          <w:szCs w:val="21"/>
        </w:rPr>
      </w:pPr>
      <w:r>
        <w:rPr>
          <w:rFonts w:hint="eastAsia"/>
          <w:szCs w:val="21"/>
        </w:rPr>
        <w:t>（3）</w:t>
      </w:r>
      <w:r>
        <w:rPr>
          <w:color w:val="000000"/>
        </w:rPr>
        <w:t>检查通道、出口及栏杆</w:t>
      </w:r>
      <w:r>
        <w:rPr>
          <w:rFonts w:hint="eastAsia"/>
          <w:color w:val="000000"/>
        </w:rPr>
        <w:t>。</w:t>
      </w:r>
    </w:p>
    <w:p>
      <w:pPr>
        <w:adjustRightInd w:val="0"/>
        <w:snapToGrid w:val="0"/>
        <w:ind w:firstLine="420" w:firstLineChars="200"/>
        <w:rPr>
          <w:szCs w:val="21"/>
        </w:rPr>
      </w:pPr>
    </w:p>
    <w:p>
      <w:pPr>
        <w:adjustRightInd w:val="0"/>
        <w:snapToGrid w:val="0"/>
        <w:ind w:firstLine="422" w:firstLineChars="200"/>
        <w:rPr>
          <w:b/>
          <w:szCs w:val="21"/>
        </w:rPr>
      </w:pPr>
      <w:r>
        <w:rPr>
          <w:rFonts w:hint="eastAsia"/>
          <w:b/>
          <w:szCs w:val="21"/>
        </w:rPr>
        <w:t>2.2.</w:t>
      </w:r>
      <w:r>
        <w:rPr>
          <w:b/>
          <w:szCs w:val="21"/>
        </w:rPr>
        <w:t>4</w:t>
      </w:r>
      <w:r>
        <w:rPr>
          <w:rFonts w:hint="eastAsia"/>
          <w:b/>
          <w:szCs w:val="21"/>
        </w:rPr>
        <w:t xml:space="preserve">  船舶设备</w:t>
      </w:r>
      <w:r>
        <w:rPr>
          <w:b/>
          <w:szCs w:val="21"/>
        </w:rPr>
        <w:t>的检验项目</w:t>
      </w:r>
    </w:p>
    <w:p>
      <w:pPr>
        <w:adjustRightInd w:val="0"/>
        <w:snapToGrid w:val="0"/>
        <w:ind w:firstLine="420" w:firstLineChars="200"/>
        <w:rPr>
          <w:szCs w:val="21"/>
        </w:rPr>
      </w:pPr>
      <w:r>
        <w:rPr>
          <w:rFonts w:hint="eastAsia"/>
          <w:szCs w:val="21"/>
        </w:rPr>
        <w:t>2.2.</w:t>
      </w:r>
      <w:r>
        <w:rPr>
          <w:szCs w:val="21"/>
        </w:rPr>
        <w:t>4</w:t>
      </w:r>
      <w:r>
        <w:rPr>
          <w:rFonts w:hint="eastAsia"/>
          <w:szCs w:val="21"/>
        </w:rPr>
        <w:t xml:space="preserve">.1  </w:t>
      </w:r>
      <w:r>
        <w:rPr>
          <w:szCs w:val="21"/>
        </w:rPr>
        <w:t>检查主机、推进装置、电气设备、防污染装置等主要设备的船用产品证书，并核对其主要技术规格和性能指标；</w:t>
      </w:r>
    </w:p>
    <w:p>
      <w:pPr>
        <w:adjustRightInd w:val="0"/>
        <w:snapToGrid w:val="0"/>
        <w:ind w:firstLine="420" w:firstLineChars="200"/>
        <w:rPr>
          <w:szCs w:val="21"/>
        </w:rPr>
      </w:pPr>
      <w:r>
        <w:rPr>
          <w:rFonts w:hint="eastAsia"/>
          <w:szCs w:val="21"/>
        </w:rPr>
        <w:t>2.2.</w:t>
      </w:r>
      <w:r>
        <w:rPr>
          <w:szCs w:val="21"/>
        </w:rPr>
        <w:t>4</w:t>
      </w:r>
      <w:r>
        <w:rPr>
          <w:rFonts w:hint="eastAsia"/>
          <w:szCs w:val="21"/>
        </w:rPr>
        <w:t xml:space="preserve">.2 </w:t>
      </w:r>
      <w:r>
        <w:rPr>
          <w:szCs w:val="21"/>
        </w:rPr>
        <w:t xml:space="preserve"> 检查操舵装置和锚设备的安装的正确性并进行必要的试验；</w:t>
      </w:r>
    </w:p>
    <w:p>
      <w:pPr>
        <w:adjustRightInd w:val="0"/>
        <w:snapToGrid w:val="0"/>
        <w:ind w:firstLine="420" w:firstLineChars="200"/>
        <w:rPr>
          <w:szCs w:val="21"/>
        </w:rPr>
      </w:pPr>
      <w:r>
        <w:rPr>
          <w:rFonts w:hint="eastAsia"/>
          <w:szCs w:val="21"/>
        </w:rPr>
        <w:t>2.2.</w:t>
      </w:r>
      <w:r>
        <w:rPr>
          <w:szCs w:val="21"/>
        </w:rPr>
        <w:t>4</w:t>
      </w:r>
      <w:r>
        <w:rPr>
          <w:rFonts w:hint="eastAsia"/>
          <w:szCs w:val="21"/>
        </w:rPr>
        <w:t xml:space="preserve">.3 </w:t>
      </w:r>
      <w:r>
        <w:rPr>
          <w:szCs w:val="21"/>
        </w:rPr>
        <w:t xml:space="preserve"> 检查主机、辅机、轴系、螺旋桨的安装并进行必要的试验；</w:t>
      </w:r>
    </w:p>
    <w:p>
      <w:pPr>
        <w:adjustRightInd w:val="0"/>
        <w:snapToGrid w:val="0"/>
        <w:ind w:firstLine="420" w:firstLineChars="200"/>
        <w:rPr>
          <w:szCs w:val="21"/>
        </w:rPr>
      </w:pPr>
      <w:r>
        <w:rPr>
          <w:rFonts w:hint="eastAsia"/>
          <w:szCs w:val="21"/>
        </w:rPr>
        <w:t>2.2.</w:t>
      </w:r>
      <w:r>
        <w:rPr>
          <w:szCs w:val="21"/>
        </w:rPr>
        <w:t>4</w:t>
      </w:r>
      <w:r>
        <w:rPr>
          <w:rFonts w:hint="eastAsia"/>
          <w:szCs w:val="21"/>
        </w:rPr>
        <w:t xml:space="preserve">.4 </w:t>
      </w:r>
      <w:r>
        <w:rPr>
          <w:szCs w:val="21"/>
        </w:rPr>
        <w:t xml:space="preserve"> 检查各种管系的安装并进行必要的密性试验；</w:t>
      </w:r>
    </w:p>
    <w:p>
      <w:pPr>
        <w:adjustRightInd w:val="0"/>
        <w:snapToGrid w:val="0"/>
        <w:ind w:firstLine="420" w:firstLineChars="200"/>
        <w:rPr>
          <w:szCs w:val="21"/>
        </w:rPr>
      </w:pPr>
      <w:r>
        <w:rPr>
          <w:rFonts w:hint="eastAsia"/>
          <w:szCs w:val="21"/>
        </w:rPr>
        <w:t>2.2.</w:t>
      </w:r>
      <w:r>
        <w:rPr>
          <w:szCs w:val="21"/>
        </w:rPr>
        <w:t>4</w:t>
      </w:r>
      <w:r>
        <w:rPr>
          <w:rFonts w:hint="eastAsia"/>
          <w:szCs w:val="21"/>
        </w:rPr>
        <w:t xml:space="preserve">.5 </w:t>
      </w:r>
      <w:r>
        <w:rPr>
          <w:szCs w:val="21"/>
        </w:rPr>
        <w:t xml:space="preserve"> 检查机驾合一装置的安装和可靠性；</w:t>
      </w:r>
    </w:p>
    <w:p>
      <w:pPr>
        <w:adjustRightInd w:val="0"/>
        <w:snapToGrid w:val="0"/>
        <w:ind w:firstLine="420" w:firstLineChars="200"/>
        <w:rPr>
          <w:szCs w:val="21"/>
        </w:rPr>
      </w:pPr>
      <w:r>
        <w:rPr>
          <w:rFonts w:hint="eastAsia"/>
          <w:szCs w:val="21"/>
        </w:rPr>
        <w:t>2.2.</w:t>
      </w:r>
      <w:r>
        <w:rPr>
          <w:szCs w:val="21"/>
        </w:rPr>
        <w:t>4</w:t>
      </w:r>
      <w:r>
        <w:rPr>
          <w:rFonts w:hint="eastAsia"/>
          <w:szCs w:val="21"/>
        </w:rPr>
        <w:t xml:space="preserve">.6 </w:t>
      </w:r>
      <w:r>
        <w:rPr>
          <w:szCs w:val="21"/>
        </w:rPr>
        <w:t xml:space="preserve"> 检查液压系统、压缩空气系统和通风系统的安装并试验；</w:t>
      </w:r>
    </w:p>
    <w:p>
      <w:pPr>
        <w:adjustRightInd w:val="0"/>
        <w:snapToGrid w:val="0"/>
        <w:ind w:firstLine="420" w:firstLineChars="200"/>
        <w:rPr>
          <w:szCs w:val="21"/>
        </w:rPr>
      </w:pPr>
      <w:r>
        <w:rPr>
          <w:rFonts w:hint="eastAsia"/>
          <w:szCs w:val="21"/>
        </w:rPr>
        <w:t>2.2.</w:t>
      </w:r>
      <w:r>
        <w:rPr>
          <w:szCs w:val="21"/>
        </w:rPr>
        <w:t>4</w:t>
      </w:r>
      <w:r>
        <w:rPr>
          <w:rFonts w:hint="eastAsia"/>
          <w:szCs w:val="21"/>
        </w:rPr>
        <w:t xml:space="preserve">.7 </w:t>
      </w:r>
      <w:r>
        <w:rPr>
          <w:szCs w:val="21"/>
        </w:rPr>
        <w:t xml:space="preserve"> 检查遥控关闭装置的安装和试验（如燃油速闭阀）；</w:t>
      </w:r>
    </w:p>
    <w:p>
      <w:pPr>
        <w:adjustRightInd w:val="0"/>
        <w:snapToGrid w:val="0"/>
        <w:ind w:firstLine="420" w:firstLineChars="200"/>
        <w:rPr>
          <w:szCs w:val="21"/>
        </w:rPr>
      </w:pPr>
      <w:r>
        <w:rPr>
          <w:rFonts w:hint="eastAsia"/>
          <w:szCs w:val="21"/>
        </w:rPr>
        <w:t>2.2.</w:t>
      </w:r>
      <w:r>
        <w:rPr>
          <w:szCs w:val="21"/>
        </w:rPr>
        <w:t>4</w:t>
      </w:r>
      <w:r>
        <w:rPr>
          <w:rFonts w:hint="eastAsia"/>
          <w:szCs w:val="21"/>
        </w:rPr>
        <w:t xml:space="preserve">.8 </w:t>
      </w:r>
      <w:r>
        <w:rPr>
          <w:szCs w:val="21"/>
        </w:rPr>
        <w:t xml:space="preserve"> 核查电缆规格、检查电气设备、</w:t>
      </w:r>
      <w:r>
        <w:rPr>
          <w:rFonts w:hint="eastAsia"/>
          <w:szCs w:val="21"/>
        </w:rPr>
        <w:t>照明</w:t>
      </w:r>
      <w:r>
        <w:rPr>
          <w:szCs w:val="21"/>
        </w:rPr>
        <w:t>系统、电缆安装并进行必要的试验；</w:t>
      </w:r>
    </w:p>
    <w:p>
      <w:pPr>
        <w:adjustRightInd w:val="0"/>
        <w:snapToGrid w:val="0"/>
        <w:ind w:firstLine="420" w:firstLineChars="200"/>
        <w:rPr>
          <w:szCs w:val="21"/>
        </w:rPr>
      </w:pPr>
      <w:r>
        <w:rPr>
          <w:rFonts w:hint="eastAsia"/>
          <w:szCs w:val="21"/>
        </w:rPr>
        <w:t>2.2.</w:t>
      </w:r>
      <w:r>
        <w:rPr>
          <w:szCs w:val="21"/>
        </w:rPr>
        <w:t>4</w:t>
      </w:r>
      <w:r>
        <w:rPr>
          <w:rFonts w:hint="eastAsia"/>
          <w:szCs w:val="21"/>
        </w:rPr>
        <w:t xml:space="preserve">.9 </w:t>
      </w:r>
      <w:r>
        <w:rPr>
          <w:szCs w:val="21"/>
        </w:rPr>
        <w:t xml:space="preserve"> 检查</w:t>
      </w:r>
      <w:r>
        <w:rPr>
          <w:color w:val="000000"/>
        </w:rPr>
        <w:t>电气设备的绝缘电阻及接地和避雷装置的安装情况</w:t>
      </w:r>
      <w:r>
        <w:rPr>
          <w:szCs w:val="21"/>
        </w:rPr>
        <w:t>；</w:t>
      </w:r>
    </w:p>
    <w:p>
      <w:pPr>
        <w:adjustRightInd w:val="0"/>
        <w:snapToGrid w:val="0"/>
        <w:ind w:firstLine="420" w:firstLineChars="200"/>
        <w:rPr>
          <w:szCs w:val="21"/>
        </w:rPr>
      </w:pPr>
      <w:r>
        <w:rPr>
          <w:rFonts w:hint="eastAsia"/>
          <w:szCs w:val="21"/>
        </w:rPr>
        <w:t>2.2.</w:t>
      </w:r>
      <w:r>
        <w:rPr>
          <w:szCs w:val="21"/>
        </w:rPr>
        <w:t>4</w:t>
      </w:r>
      <w:r>
        <w:rPr>
          <w:rFonts w:hint="eastAsia"/>
          <w:szCs w:val="21"/>
        </w:rPr>
        <w:t xml:space="preserve">.10 </w:t>
      </w:r>
      <w:r>
        <w:rPr>
          <w:szCs w:val="21"/>
        </w:rPr>
        <w:t xml:space="preserve"> 核查</w:t>
      </w:r>
      <w:r>
        <w:rPr>
          <w:rFonts w:hint="eastAsia"/>
          <w:szCs w:val="21"/>
        </w:rPr>
        <w:t>救生</w:t>
      </w:r>
      <w:r>
        <w:rPr>
          <w:szCs w:val="21"/>
        </w:rPr>
        <w:t>、消防、航行、信号设备及无线电通信设备的产品证书及配置，检查其安装的正确性并进行必要的效用试验；</w:t>
      </w:r>
    </w:p>
    <w:p>
      <w:pPr>
        <w:adjustRightInd w:val="0"/>
        <w:snapToGrid w:val="0"/>
        <w:ind w:firstLine="420" w:firstLineChars="200"/>
        <w:rPr>
          <w:szCs w:val="21"/>
        </w:rPr>
      </w:pPr>
      <w:r>
        <w:rPr>
          <w:rFonts w:hint="eastAsia"/>
          <w:szCs w:val="21"/>
        </w:rPr>
        <w:t>2.2.</w:t>
      </w:r>
      <w:r>
        <w:rPr>
          <w:szCs w:val="21"/>
        </w:rPr>
        <w:t>4</w:t>
      </w:r>
      <w:r>
        <w:rPr>
          <w:rFonts w:hint="eastAsia"/>
          <w:szCs w:val="21"/>
        </w:rPr>
        <w:t>.1</w:t>
      </w:r>
      <w:r>
        <w:rPr>
          <w:szCs w:val="21"/>
        </w:rPr>
        <w:t>1</w:t>
      </w:r>
      <w:r>
        <w:rPr>
          <w:rFonts w:hint="eastAsia"/>
          <w:szCs w:val="21"/>
        </w:rPr>
        <w:t xml:space="preserve"> </w:t>
      </w:r>
      <w:r>
        <w:rPr>
          <w:szCs w:val="21"/>
        </w:rPr>
        <w:t xml:space="preserve"> 确认有关防污染设施的完整性并进行必要的效用试验。</w:t>
      </w:r>
    </w:p>
    <w:p>
      <w:pPr>
        <w:adjustRightInd w:val="0"/>
        <w:snapToGrid w:val="0"/>
        <w:ind w:firstLine="420" w:firstLineChars="200"/>
        <w:rPr>
          <w:szCs w:val="21"/>
        </w:rPr>
      </w:pPr>
    </w:p>
    <w:p>
      <w:pPr>
        <w:adjustRightInd w:val="0"/>
        <w:snapToGrid w:val="0"/>
        <w:ind w:firstLine="422" w:firstLineChars="200"/>
        <w:rPr>
          <w:b/>
          <w:szCs w:val="21"/>
        </w:rPr>
      </w:pPr>
      <w:r>
        <w:rPr>
          <w:rFonts w:hint="eastAsia"/>
          <w:b/>
          <w:szCs w:val="21"/>
        </w:rPr>
        <w:t>2.2.</w:t>
      </w:r>
      <w:r>
        <w:rPr>
          <w:b/>
          <w:szCs w:val="21"/>
        </w:rPr>
        <w:t>5</w:t>
      </w:r>
      <w:r>
        <w:rPr>
          <w:rFonts w:hint="eastAsia"/>
          <w:b/>
          <w:szCs w:val="21"/>
        </w:rPr>
        <w:t xml:space="preserve">  倾斜</w:t>
      </w:r>
      <w:r>
        <w:rPr>
          <w:b/>
          <w:szCs w:val="21"/>
        </w:rPr>
        <w:t>试验、系泊</w:t>
      </w:r>
      <w:r>
        <w:rPr>
          <w:rFonts w:hint="eastAsia"/>
          <w:b/>
          <w:szCs w:val="21"/>
        </w:rPr>
        <w:t>试验</w:t>
      </w:r>
      <w:r>
        <w:rPr>
          <w:b/>
          <w:szCs w:val="21"/>
        </w:rPr>
        <w:t>及航行试验</w:t>
      </w:r>
    </w:p>
    <w:p>
      <w:pPr>
        <w:adjustRightInd w:val="0"/>
        <w:snapToGrid w:val="0"/>
        <w:ind w:firstLine="420" w:firstLineChars="200"/>
        <w:rPr>
          <w:szCs w:val="21"/>
        </w:rPr>
      </w:pPr>
      <w:r>
        <w:rPr>
          <w:szCs w:val="21"/>
        </w:rPr>
        <w:t xml:space="preserve">2.2.5.1  </w:t>
      </w:r>
      <w:r>
        <w:rPr>
          <w:rFonts w:hint="eastAsia"/>
          <w:szCs w:val="21"/>
        </w:rPr>
        <w:t>倾斜</w:t>
      </w:r>
      <w:r>
        <w:rPr>
          <w:szCs w:val="21"/>
        </w:rPr>
        <w:t>试验</w:t>
      </w:r>
    </w:p>
    <w:p>
      <w:pPr>
        <w:adjustRightInd w:val="0"/>
        <w:snapToGrid w:val="0"/>
        <w:ind w:firstLine="420" w:firstLineChars="200"/>
        <w:rPr>
          <w:szCs w:val="21"/>
        </w:rPr>
      </w:pPr>
      <w:r>
        <w:rPr>
          <w:rFonts w:hint="eastAsia"/>
          <w:szCs w:val="21"/>
        </w:rPr>
        <w:t>（1）</w:t>
      </w:r>
      <w:r>
        <w:rPr>
          <w:szCs w:val="21"/>
        </w:rPr>
        <w:t>确认</w:t>
      </w:r>
      <w:r>
        <w:rPr>
          <w:rFonts w:hint="eastAsia"/>
          <w:szCs w:val="21"/>
        </w:rPr>
        <w:t>倾斜</w:t>
      </w:r>
      <w:r>
        <w:rPr>
          <w:szCs w:val="21"/>
        </w:rPr>
        <w:t>试验大纲。验船师应根据确认的</w:t>
      </w:r>
      <w:r>
        <w:rPr>
          <w:rFonts w:hint="eastAsia"/>
          <w:szCs w:val="21"/>
        </w:rPr>
        <w:t>倾斜</w:t>
      </w:r>
      <w:r>
        <w:rPr>
          <w:szCs w:val="21"/>
        </w:rPr>
        <w:t>试验大纲参加</w:t>
      </w:r>
      <w:r>
        <w:rPr>
          <w:rFonts w:hint="eastAsia"/>
          <w:szCs w:val="21"/>
        </w:rPr>
        <w:t>倾斜</w:t>
      </w:r>
      <w:r>
        <w:rPr>
          <w:szCs w:val="21"/>
        </w:rPr>
        <w:t>试验</w:t>
      </w:r>
      <w:r>
        <w:rPr>
          <w:rFonts w:hint="eastAsia"/>
          <w:szCs w:val="21"/>
        </w:rPr>
        <w:t>，</w:t>
      </w:r>
      <w:r>
        <w:rPr>
          <w:szCs w:val="21"/>
        </w:rPr>
        <w:t>倾斜试验报告</w:t>
      </w:r>
      <w:r>
        <w:rPr>
          <w:rFonts w:hint="eastAsia"/>
          <w:szCs w:val="21"/>
        </w:rPr>
        <w:t>应</w:t>
      </w:r>
      <w:r>
        <w:rPr>
          <w:szCs w:val="21"/>
        </w:rPr>
        <w:t>提交船舶检验机构批准。</w:t>
      </w:r>
    </w:p>
    <w:p>
      <w:pPr>
        <w:adjustRightInd w:val="0"/>
        <w:snapToGrid w:val="0"/>
        <w:ind w:firstLine="420" w:firstLineChars="200"/>
        <w:rPr>
          <w:szCs w:val="21"/>
        </w:rPr>
      </w:pPr>
      <w:r>
        <w:rPr>
          <w:rFonts w:hint="eastAsia"/>
          <w:szCs w:val="21"/>
        </w:rPr>
        <w:t>（2）</w:t>
      </w:r>
      <w:r>
        <w:rPr>
          <w:szCs w:val="21"/>
        </w:rPr>
        <w:t>对</w:t>
      </w:r>
      <w:r>
        <w:rPr>
          <w:rFonts w:hint="eastAsia"/>
          <w:szCs w:val="21"/>
        </w:rPr>
        <w:t>申请型式</w:t>
      </w:r>
      <w:r>
        <w:rPr>
          <w:szCs w:val="21"/>
        </w:rPr>
        <w:t>检验的原型船</w:t>
      </w:r>
      <w:r>
        <w:rPr>
          <w:rFonts w:hint="eastAsia"/>
          <w:szCs w:val="21"/>
        </w:rPr>
        <w:t>/</w:t>
      </w:r>
      <w:r>
        <w:rPr>
          <w:szCs w:val="21"/>
        </w:rPr>
        <w:t>首制船应当进行倾斜试验</w:t>
      </w:r>
      <w:r>
        <w:rPr>
          <w:rFonts w:hint="eastAsia"/>
          <w:szCs w:val="21"/>
        </w:rPr>
        <w:t>。</w:t>
      </w:r>
    </w:p>
    <w:p>
      <w:pPr>
        <w:adjustRightInd w:val="0"/>
        <w:snapToGrid w:val="0"/>
        <w:ind w:firstLine="420" w:firstLineChars="200"/>
        <w:rPr>
          <w:szCs w:val="21"/>
        </w:rPr>
      </w:pPr>
      <w:r>
        <w:rPr>
          <w:rFonts w:hint="eastAsia"/>
          <w:szCs w:val="21"/>
        </w:rPr>
        <w:t>（3）</w:t>
      </w:r>
      <w:r>
        <w:rPr>
          <w:szCs w:val="21"/>
        </w:rPr>
        <w:t>若倾斜试验有困难时，可进行摇摆试验，以测定空船的横摇固有周期。</w:t>
      </w:r>
    </w:p>
    <w:p>
      <w:pPr>
        <w:adjustRightInd w:val="0"/>
        <w:snapToGrid w:val="0"/>
        <w:ind w:firstLine="420" w:firstLineChars="200"/>
        <w:rPr>
          <w:szCs w:val="21"/>
        </w:rPr>
      </w:pPr>
      <w:r>
        <w:rPr>
          <w:szCs w:val="21"/>
        </w:rPr>
        <w:t>2.2.5.2  系泊及航行试验</w:t>
      </w:r>
    </w:p>
    <w:p>
      <w:pPr>
        <w:adjustRightInd w:val="0"/>
        <w:snapToGrid w:val="0"/>
        <w:ind w:firstLine="420" w:firstLineChars="200"/>
        <w:rPr>
          <w:szCs w:val="21"/>
        </w:rPr>
      </w:pPr>
      <w:r>
        <w:rPr>
          <w:rFonts w:hint="eastAsia"/>
          <w:szCs w:val="21"/>
        </w:rPr>
        <w:t>（1）</w:t>
      </w:r>
      <w:r>
        <w:rPr>
          <w:szCs w:val="21"/>
        </w:rPr>
        <w:t>确认系泊及航行试验大纲。验船师应根据确认的船舶系泊及航行试验大纲参加船舶系泊及航行试验并在试验报告上签署意见。</w:t>
      </w:r>
    </w:p>
    <w:p>
      <w:pPr>
        <w:adjustRightInd w:val="0"/>
        <w:snapToGrid w:val="0"/>
        <w:ind w:firstLine="420" w:firstLineChars="200"/>
        <w:rPr>
          <w:color w:val="2E75B6" w:themeColor="accent1" w:themeShade="BF"/>
        </w:rPr>
      </w:pPr>
    </w:p>
    <w:p>
      <w:pPr>
        <w:adjustRightInd w:val="0"/>
        <w:snapToGrid w:val="0"/>
        <w:ind w:firstLine="422" w:firstLineChars="200"/>
        <w:rPr>
          <w:b/>
          <w:szCs w:val="21"/>
        </w:rPr>
      </w:pPr>
      <w:r>
        <w:rPr>
          <w:rFonts w:hint="eastAsia"/>
          <w:b/>
          <w:szCs w:val="21"/>
        </w:rPr>
        <w:t>2.2.</w:t>
      </w:r>
      <w:r>
        <w:rPr>
          <w:b/>
          <w:szCs w:val="21"/>
        </w:rPr>
        <w:t>7</w:t>
      </w:r>
      <w:r>
        <w:rPr>
          <w:rFonts w:hint="eastAsia"/>
          <w:b/>
          <w:szCs w:val="21"/>
        </w:rPr>
        <w:t xml:space="preserve">  其他</w:t>
      </w:r>
    </w:p>
    <w:p>
      <w:pPr>
        <w:adjustRightInd w:val="0"/>
        <w:snapToGrid w:val="0"/>
        <w:ind w:firstLine="420" w:firstLineChars="200"/>
        <w:rPr>
          <w:szCs w:val="21"/>
        </w:rPr>
      </w:pPr>
      <w:r>
        <w:rPr>
          <w:rFonts w:hint="eastAsia"/>
          <w:szCs w:val="21"/>
        </w:rPr>
        <w:t>2.2.</w:t>
      </w:r>
      <w:r>
        <w:rPr>
          <w:szCs w:val="21"/>
        </w:rPr>
        <w:t>7</w:t>
      </w:r>
      <w:r>
        <w:rPr>
          <w:rFonts w:hint="eastAsia"/>
          <w:szCs w:val="21"/>
        </w:rPr>
        <w:t>.1  船舶建造单位应确保符合适用的法律和法规、材料制造商的加工程序以及工业界的事故预防规则和操作生产。</w:t>
      </w:r>
    </w:p>
    <w:p>
      <w:pPr>
        <w:adjustRightInd w:val="0"/>
        <w:snapToGrid w:val="0"/>
        <w:ind w:firstLine="420" w:firstLineChars="200"/>
        <w:rPr>
          <w:szCs w:val="21"/>
        </w:rPr>
      </w:pPr>
      <w:r>
        <w:rPr>
          <w:rFonts w:hint="eastAsia"/>
          <w:szCs w:val="21"/>
        </w:rPr>
        <w:t>2.2.</w:t>
      </w:r>
      <w:r>
        <w:rPr>
          <w:szCs w:val="21"/>
        </w:rPr>
        <w:t>7</w:t>
      </w:r>
      <w:r>
        <w:rPr>
          <w:rFonts w:hint="eastAsia"/>
          <w:szCs w:val="21"/>
        </w:rPr>
        <w:t>.</w:t>
      </w:r>
      <w:r>
        <w:rPr>
          <w:szCs w:val="21"/>
        </w:rPr>
        <w:t>2</w:t>
      </w:r>
      <w:r>
        <w:rPr>
          <w:rFonts w:hint="eastAsia"/>
          <w:szCs w:val="21"/>
        </w:rPr>
        <w:t xml:space="preserve">  若船舶建造单位发生影响</w:t>
      </w:r>
      <w:r>
        <w:rPr>
          <w:szCs w:val="21"/>
        </w:rPr>
        <w:t>开工</w:t>
      </w:r>
      <w:r>
        <w:rPr>
          <w:rFonts w:hint="eastAsia"/>
          <w:szCs w:val="21"/>
        </w:rPr>
        <w:t>项目的任何改变，如生产设备、生产程序等，应及时通知船舶检验</w:t>
      </w:r>
      <w:r>
        <w:rPr>
          <w:szCs w:val="21"/>
        </w:rPr>
        <w:t>机</w:t>
      </w:r>
      <w:r>
        <w:rPr>
          <w:rFonts w:hint="eastAsia"/>
          <w:szCs w:val="21"/>
        </w:rPr>
        <w:t>构，并将新程序及相关文件在实施前提交船舶检验机构。</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21" w:name="_Toc70411335"/>
      <w:bookmarkStart w:id="22" w:name="_Toc50386752"/>
      <w:r>
        <w:rPr>
          <w:rFonts w:eastAsia="楷体"/>
          <w:b w:val="0"/>
          <w:bCs w:val="0"/>
          <w:snapToGrid w:val="0"/>
          <w:kern w:val="0"/>
          <w:sz w:val="28"/>
          <w:szCs w:val="20"/>
        </w:rPr>
        <w:t xml:space="preserve">第3节  </w:t>
      </w:r>
      <w:r>
        <w:rPr>
          <w:rFonts w:hint="eastAsia" w:eastAsia="楷体"/>
          <w:b w:val="0"/>
          <w:bCs w:val="0"/>
          <w:snapToGrid w:val="0"/>
          <w:kern w:val="0"/>
          <w:sz w:val="28"/>
          <w:szCs w:val="20"/>
        </w:rPr>
        <w:t>营运检验</w:t>
      </w:r>
      <w:bookmarkEnd w:id="21"/>
      <w:bookmarkEnd w:id="22"/>
    </w:p>
    <w:p>
      <w:pPr>
        <w:adjustRightInd w:val="0"/>
        <w:snapToGrid w:val="0"/>
        <w:ind w:firstLine="422" w:firstLineChars="200"/>
        <w:rPr>
          <w:b/>
          <w:szCs w:val="21"/>
        </w:rPr>
      </w:pPr>
      <w:r>
        <w:rPr>
          <w:rFonts w:hint="eastAsia"/>
          <w:b/>
          <w:szCs w:val="21"/>
        </w:rPr>
        <w:t>2.3.1  年度检验</w:t>
      </w:r>
    </w:p>
    <w:p>
      <w:pPr>
        <w:adjustRightInd w:val="0"/>
        <w:snapToGrid w:val="0"/>
        <w:ind w:firstLine="420" w:firstLineChars="200"/>
        <w:rPr>
          <w:szCs w:val="21"/>
        </w:rPr>
      </w:pPr>
      <w:r>
        <w:rPr>
          <w:rFonts w:hint="eastAsia"/>
          <w:szCs w:val="21"/>
        </w:rPr>
        <w:t>2.3.1.1  年度检验应</w:t>
      </w:r>
      <w:r>
        <w:rPr>
          <w:szCs w:val="21"/>
        </w:rPr>
        <w:t>按</w:t>
      </w:r>
      <w:r>
        <w:rPr>
          <w:rFonts w:hint="eastAsia"/>
          <w:szCs w:val="21"/>
        </w:rPr>
        <w:t>下列项目进行检查：</w:t>
      </w:r>
    </w:p>
    <w:p>
      <w:pPr>
        <w:adjustRightInd w:val="0"/>
        <w:snapToGrid w:val="0"/>
        <w:ind w:firstLine="420" w:firstLineChars="200"/>
        <w:rPr>
          <w:szCs w:val="21"/>
        </w:rPr>
      </w:pPr>
      <w:r>
        <w:rPr>
          <w:rFonts w:hint="eastAsia"/>
          <w:szCs w:val="21"/>
        </w:rPr>
        <w:t>（1）年度检验时应清除船舶内外表面污垢；</w:t>
      </w:r>
    </w:p>
    <w:p>
      <w:pPr>
        <w:adjustRightInd w:val="0"/>
        <w:snapToGrid w:val="0"/>
        <w:ind w:firstLine="420" w:firstLineChars="200"/>
        <w:rPr>
          <w:szCs w:val="21"/>
        </w:rPr>
      </w:pPr>
      <w:r>
        <w:rPr>
          <w:rFonts w:hint="eastAsia"/>
          <w:szCs w:val="21"/>
        </w:rPr>
        <w:t>（2）年度检验应对船体、舾装、机电设备等进行全面的检查，查明各部位的损坏程度，确定能否继续保持安全航行的技术条件；</w:t>
      </w:r>
    </w:p>
    <w:p>
      <w:pPr>
        <w:adjustRightInd w:val="0"/>
        <w:snapToGrid w:val="0"/>
        <w:ind w:firstLine="420" w:firstLineChars="200"/>
        <w:rPr>
          <w:szCs w:val="21"/>
        </w:rPr>
      </w:pPr>
      <w:r>
        <w:rPr>
          <w:rFonts w:hint="eastAsia"/>
          <w:szCs w:val="21"/>
        </w:rPr>
        <w:t>（3）检查船体是否有微细裂纹及老化迹象，开口角隅有无裂痕，基座及附近承受振动的区域有无裂纹等损坏现象；</w:t>
      </w:r>
    </w:p>
    <w:p>
      <w:pPr>
        <w:adjustRightInd w:val="0"/>
        <w:snapToGrid w:val="0"/>
        <w:ind w:firstLine="420" w:firstLineChars="200"/>
        <w:rPr>
          <w:szCs w:val="21"/>
        </w:rPr>
      </w:pPr>
      <w:r>
        <w:rPr>
          <w:rFonts w:hint="eastAsia"/>
          <w:szCs w:val="21"/>
        </w:rPr>
        <w:t>（4）检查船体和舱口角隅的蠕变是否有碍航行安全；</w:t>
      </w:r>
    </w:p>
    <w:p>
      <w:pPr>
        <w:adjustRightInd w:val="0"/>
        <w:snapToGrid w:val="0"/>
        <w:ind w:firstLine="420" w:firstLineChars="200"/>
        <w:rPr>
          <w:szCs w:val="21"/>
        </w:rPr>
      </w:pPr>
      <w:r>
        <w:rPr>
          <w:rFonts w:hint="eastAsia"/>
          <w:szCs w:val="21"/>
        </w:rPr>
        <w:t>（5）检查艏柱、锚和锚链经常刮触到的部位的磨损情况；</w:t>
      </w:r>
    </w:p>
    <w:p>
      <w:pPr>
        <w:adjustRightInd w:val="0"/>
        <w:snapToGrid w:val="0"/>
        <w:ind w:firstLine="420" w:firstLineChars="200"/>
        <w:rPr>
          <w:szCs w:val="21"/>
        </w:rPr>
      </w:pPr>
      <w:r>
        <w:rPr>
          <w:rFonts w:hint="eastAsia"/>
          <w:szCs w:val="21"/>
        </w:rPr>
        <w:t>（6）检查焊缝是否脱焊；</w:t>
      </w:r>
    </w:p>
    <w:p>
      <w:pPr>
        <w:adjustRightInd w:val="0"/>
        <w:snapToGrid w:val="0"/>
        <w:ind w:firstLine="420" w:firstLineChars="200"/>
        <w:rPr>
          <w:szCs w:val="21"/>
        </w:rPr>
      </w:pPr>
      <w:r>
        <w:rPr>
          <w:rFonts w:hint="eastAsia"/>
          <w:szCs w:val="21"/>
        </w:rPr>
        <w:t>（7）检查机械连接金属构件的锈蚀和损坏情况；</w:t>
      </w:r>
    </w:p>
    <w:p>
      <w:pPr>
        <w:adjustRightInd w:val="0"/>
        <w:snapToGrid w:val="0"/>
        <w:ind w:firstLine="420" w:firstLineChars="200"/>
        <w:rPr>
          <w:szCs w:val="21"/>
        </w:rPr>
      </w:pPr>
      <w:r>
        <w:rPr>
          <w:rFonts w:hint="eastAsia"/>
          <w:szCs w:val="21"/>
        </w:rPr>
        <w:t>（8）检查机械、船体附件与船体连接部位的情况；</w:t>
      </w:r>
    </w:p>
    <w:p>
      <w:pPr>
        <w:adjustRightInd w:val="0"/>
        <w:snapToGrid w:val="0"/>
        <w:ind w:firstLine="420" w:firstLineChars="200"/>
        <w:rPr>
          <w:szCs w:val="21"/>
        </w:rPr>
      </w:pPr>
      <w:r>
        <w:rPr>
          <w:rFonts w:hint="eastAsia"/>
          <w:szCs w:val="21"/>
        </w:rPr>
        <w:t>（9）检查载重线标志，确认标位正确、符号淸晰；</w:t>
      </w:r>
    </w:p>
    <w:p>
      <w:pPr>
        <w:adjustRightInd w:val="0"/>
        <w:snapToGrid w:val="0"/>
        <w:ind w:firstLine="420" w:firstLineChars="200"/>
        <w:rPr>
          <w:szCs w:val="21"/>
        </w:rPr>
      </w:pPr>
      <w:r>
        <w:rPr>
          <w:rFonts w:hint="eastAsia"/>
          <w:szCs w:val="21"/>
        </w:rPr>
        <w:t>（10）检查</w:t>
      </w:r>
      <w:r>
        <w:rPr>
          <w:szCs w:val="21"/>
        </w:rPr>
        <w:t>舵、锚、消防、救生</w:t>
      </w:r>
      <w:r>
        <w:rPr>
          <w:rFonts w:hint="eastAsia"/>
          <w:szCs w:val="21"/>
        </w:rPr>
        <w:t>、</w:t>
      </w:r>
      <w:r>
        <w:rPr>
          <w:szCs w:val="21"/>
        </w:rPr>
        <w:t>航行、信号等</w:t>
      </w:r>
      <w:r>
        <w:rPr>
          <w:rFonts w:hint="eastAsia"/>
          <w:szCs w:val="21"/>
        </w:rPr>
        <w:t>安全</w:t>
      </w:r>
      <w:r>
        <w:rPr>
          <w:szCs w:val="21"/>
        </w:rPr>
        <w:t>设备</w:t>
      </w:r>
      <w:r>
        <w:rPr>
          <w:rFonts w:hint="eastAsia"/>
          <w:szCs w:val="21"/>
        </w:rPr>
        <w:t>以及</w:t>
      </w:r>
      <w:r>
        <w:rPr>
          <w:szCs w:val="21"/>
        </w:rPr>
        <w:t>防污染设备的配置</w:t>
      </w:r>
      <w:r>
        <w:rPr>
          <w:rFonts w:hint="eastAsia"/>
          <w:szCs w:val="21"/>
        </w:rPr>
        <w:t>。</w:t>
      </w:r>
    </w:p>
    <w:p>
      <w:pPr>
        <w:adjustRightInd w:val="0"/>
        <w:snapToGrid w:val="0"/>
        <w:ind w:firstLine="420" w:firstLineChars="200"/>
        <w:rPr>
          <w:szCs w:val="21"/>
        </w:rPr>
      </w:pPr>
    </w:p>
    <w:p>
      <w:pPr>
        <w:adjustRightInd w:val="0"/>
        <w:snapToGrid w:val="0"/>
        <w:ind w:firstLine="422" w:firstLineChars="200"/>
        <w:rPr>
          <w:b/>
          <w:szCs w:val="21"/>
        </w:rPr>
      </w:pPr>
      <w:r>
        <w:rPr>
          <w:rFonts w:hint="eastAsia"/>
          <w:b/>
          <w:szCs w:val="21"/>
        </w:rPr>
        <w:t>2.3.2  期间/换证检验</w:t>
      </w:r>
    </w:p>
    <w:p>
      <w:pPr>
        <w:adjustRightInd w:val="0"/>
        <w:snapToGrid w:val="0"/>
        <w:ind w:firstLine="420" w:firstLineChars="200"/>
        <w:rPr>
          <w:szCs w:val="21"/>
        </w:rPr>
      </w:pPr>
      <w:r>
        <w:rPr>
          <w:rFonts w:hint="eastAsia"/>
          <w:szCs w:val="21"/>
        </w:rPr>
        <w:t>2.3.</w:t>
      </w:r>
      <w:r>
        <w:rPr>
          <w:szCs w:val="21"/>
        </w:rPr>
        <w:t>2</w:t>
      </w:r>
      <w:r>
        <w:rPr>
          <w:rFonts w:hint="eastAsia"/>
          <w:szCs w:val="21"/>
        </w:rPr>
        <w:t>.1  期间/换证检验一般应在坞内进行，并按下列项目进行检查：</w:t>
      </w:r>
    </w:p>
    <w:p>
      <w:pPr>
        <w:adjustRightInd w:val="0"/>
        <w:snapToGrid w:val="0"/>
        <w:ind w:firstLine="420" w:firstLineChars="200"/>
        <w:rPr>
          <w:szCs w:val="21"/>
        </w:rPr>
      </w:pPr>
      <w:r>
        <w:rPr>
          <w:rFonts w:hint="eastAsia"/>
          <w:szCs w:val="21"/>
        </w:rPr>
        <w:t>（</w:t>
      </w:r>
      <w:r>
        <w:rPr>
          <w:szCs w:val="21"/>
        </w:rPr>
        <w:t>1</w:t>
      </w:r>
      <w:r>
        <w:rPr>
          <w:rFonts w:hint="eastAsia"/>
          <w:szCs w:val="21"/>
        </w:rPr>
        <w:t>）按2.3.1的检验项目进行检验；</w:t>
      </w:r>
    </w:p>
    <w:p>
      <w:pPr>
        <w:adjustRightInd w:val="0"/>
        <w:snapToGrid w:val="0"/>
        <w:ind w:firstLine="420" w:firstLineChars="200"/>
        <w:rPr>
          <w:szCs w:val="21"/>
        </w:rPr>
      </w:pPr>
      <w:r>
        <w:rPr>
          <w:rFonts w:hint="eastAsia"/>
          <w:szCs w:val="21"/>
        </w:rPr>
        <w:t>（</w:t>
      </w:r>
      <w:r>
        <w:rPr>
          <w:szCs w:val="21"/>
        </w:rPr>
        <w:t>2</w:t>
      </w:r>
      <w:r>
        <w:rPr>
          <w:rFonts w:hint="eastAsia"/>
          <w:szCs w:val="21"/>
        </w:rPr>
        <w:t>）应对船体外部进行检查（包括舵、艉轴、螺旋桨等）。</w:t>
      </w:r>
    </w:p>
    <w:p>
      <w:pPr>
        <w:adjustRightInd w:val="0"/>
        <w:snapToGrid w:val="0"/>
        <w:ind w:firstLine="420" w:firstLineChars="200"/>
        <w:rPr>
          <w:szCs w:val="21"/>
        </w:rPr>
      </w:pPr>
    </w:p>
    <w:p>
      <w:pPr>
        <w:adjustRightInd w:val="0"/>
        <w:snapToGrid w:val="0"/>
        <w:ind w:firstLine="422" w:firstLineChars="200"/>
        <w:rPr>
          <w:b/>
          <w:szCs w:val="21"/>
        </w:rPr>
      </w:pPr>
      <w:r>
        <w:rPr>
          <w:rFonts w:hint="eastAsia"/>
          <w:b/>
          <w:szCs w:val="21"/>
        </w:rPr>
        <w:t>2.3.3  临时</w:t>
      </w:r>
      <w:r>
        <w:rPr>
          <w:b/>
          <w:szCs w:val="21"/>
        </w:rPr>
        <w:t>检验</w:t>
      </w:r>
    </w:p>
    <w:p>
      <w:pPr>
        <w:adjustRightInd w:val="0"/>
        <w:snapToGrid w:val="0"/>
        <w:ind w:firstLine="420" w:firstLineChars="200"/>
        <w:rPr>
          <w:szCs w:val="21"/>
        </w:rPr>
      </w:pPr>
      <w:r>
        <w:rPr>
          <w:rFonts w:hint="eastAsia"/>
          <w:szCs w:val="21"/>
        </w:rPr>
        <w:t>2.3.</w:t>
      </w:r>
      <w:r>
        <w:rPr>
          <w:szCs w:val="21"/>
        </w:rPr>
        <w:t>3</w:t>
      </w:r>
      <w:r>
        <w:rPr>
          <w:rFonts w:hint="eastAsia"/>
          <w:szCs w:val="21"/>
        </w:rPr>
        <w:t>.1  若</w:t>
      </w:r>
      <w:r>
        <w:rPr>
          <w:szCs w:val="21"/>
        </w:rPr>
        <w:t>船舶发生</w:t>
      </w:r>
      <w:r>
        <w:rPr>
          <w:rFonts w:hint="eastAsia"/>
          <w:szCs w:val="21"/>
        </w:rPr>
        <w:t>渔船</w:t>
      </w:r>
      <w:r>
        <w:rPr>
          <w:szCs w:val="21"/>
        </w:rPr>
        <w:t>检验规则中的</w:t>
      </w:r>
      <w:r>
        <w:rPr>
          <w:rFonts w:hint="eastAsia"/>
          <w:szCs w:val="21"/>
        </w:rPr>
        <w:t>需要</w:t>
      </w:r>
      <w:r>
        <w:rPr>
          <w:szCs w:val="21"/>
        </w:rPr>
        <w:t>临时检验的情形，应申请临时检验。</w:t>
      </w:r>
    </w:p>
    <w:p>
      <w:pPr>
        <w:adjustRightInd w:val="0"/>
        <w:snapToGrid w:val="0"/>
        <w:ind w:firstLine="420" w:firstLineChars="200"/>
        <w:rPr>
          <w:szCs w:val="21"/>
        </w:rPr>
      </w:pPr>
      <w:r>
        <w:rPr>
          <w:rFonts w:hint="eastAsia"/>
          <w:szCs w:val="21"/>
        </w:rPr>
        <w:t>2.3.</w:t>
      </w:r>
      <w:r>
        <w:rPr>
          <w:szCs w:val="21"/>
        </w:rPr>
        <w:t>3</w:t>
      </w:r>
      <w:r>
        <w:rPr>
          <w:rFonts w:hint="eastAsia"/>
          <w:szCs w:val="21"/>
        </w:rPr>
        <w:t>.</w:t>
      </w:r>
      <w:r>
        <w:rPr>
          <w:szCs w:val="21"/>
        </w:rPr>
        <w:t>2</w:t>
      </w:r>
      <w:r>
        <w:rPr>
          <w:rFonts w:hint="eastAsia"/>
          <w:szCs w:val="21"/>
        </w:rPr>
        <w:t xml:space="preserve">  船舶发生</w:t>
      </w:r>
      <w:r>
        <w:rPr>
          <w:szCs w:val="21"/>
        </w:rPr>
        <w:t>海损后</w:t>
      </w:r>
      <w:r>
        <w:rPr>
          <w:rFonts w:hint="eastAsia"/>
          <w:szCs w:val="21"/>
        </w:rPr>
        <w:t>，</w:t>
      </w:r>
      <w:r>
        <w:rPr>
          <w:szCs w:val="21"/>
        </w:rPr>
        <w:t>验船人员</w:t>
      </w:r>
      <w:r>
        <w:rPr>
          <w:rFonts w:hint="eastAsia"/>
          <w:szCs w:val="21"/>
        </w:rPr>
        <w:t>应</w:t>
      </w:r>
      <w:r>
        <w:rPr>
          <w:szCs w:val="21"/>
        </w:rPr>
        <w:t>对损坏部位进行检查，</w:t>
      </w:r>
      <w:r>
        <w:rPr>
          <w:rFonts w:hint="eastAsia"/>
          <w:szCs w:val="21"/>
        </w:rPr>
        <w:t>确定能否</w:t>
      </w:r>
      <w:r>
        <w:rPr>
          <w:szCs w:val="21"/>
        </w:rPr>
        <w:t>继续航行或提出修理范围</w:t>
      </w:r>
      <w:r>
        <w:rPr>
          <w:rFonts w:hint="eastAsia"/>
          <w:szCs w:val="21"/>
        </w:rPr>
        <w:t>。</w:t>
      </w:r>
    </w:p>
    <w:p>
      <w:pPr>
        <w:adjustRightInd w:val="0"/>
        <w:snapToGrid w:val="0"/>
        <w:ind w:firstLine="420" w:firstLineChars="200"/>
        <w:rPr>
          <w:szCs w:val="21"/>
        </w:rPr>
      </w:pPr>
      <w:r>
        <w:rPr>
          <w:rFonts w:hint="eastAsia"/>
          <w:szCs w:val="21"/>
        </w:rPr>
        <w:t>2.3.</w:t>
      </w:r>
      <w:r>
        <w:rPr>
          <w:szCs w:val="21"/>
        </w:rPr>
        <w:t>3</w:t>
      </w:r>
      <w:r>
        <w:rPr>
          <w:rFonts w:hint="eastAsia"/>
          <w:szCs w:val="21"/>
        </w:rPr>
        <w:t>.</w:t>
      </w:r>
      <w:r>
        <w:rPr>
          <w:szCs w:val="21"/>
        </w:rPr>
        <w:t>3</w:t>
      </w:r>
      <w:r>
        <w:rPr>
          <w:rFonts w:hint="eastAsia"/>
          <w:szCs w:val="21"/>
        </w:rPr>
        <w:t xml:space="preserve">  船舶</w:t>
      </w:r>
      <w:r>
        <w:rPr>
          <w:szCs w:val="21"/>
        </w:rPr>
        <w:t>改变用途或航区的</w:t>
      </w:r>
      <w:r>
        <w:rPr>
          <w:rFonts w:hint="eastAsia"/>
          <w:szCs w:val="21"/>
        </w:rPr>
        <w:t>临时</w:t>
      </w:r>
      <w:r>
        <w:rPr>
          <w:szCs w:val="21"/>
        </w:rPr>
        <w:t>检验，</w:t>
      </w:r>
      <w:r>
        <w:rPr>
          <w:rFonts w:hint="eastAsia"/>
          <w:szCs w:val="21"/>
        </w:rPr>
        <w:t>应根据现行法规</w:t>
      </w:r>
      <w:r>
        <w:rPr>
          <w:szCs w:val="21"/>
        </w:rPr>
        <w:t>提出对新的用途</w:t>
      </w:r>
      <w:r>
        <w:rPr>
          <w:rFonts w:hint="eastAsia"/>
          <w:szCs w:val="21"/>
        </w:rPr>
        <w:t>和</w:t>
      </w:r>
      <w:r>
        <w:rPr>
          <w:szCs w:val="21"/>
        </w:rPr>
        <w:t>航区的</w:t>
      </w:r>
      <w:r>
        <w:rPr>
          <w:rFonts w:hint="eastAsia"/>
          <w:szCs w:val="21"/>
        </w:rPr>
        <w:t>要求</w:t>
      </w:r>
      <w:r>
        <w:rPr>
          <w:szCs w:val="21"/>
        </w:rPr>
        <w:t>，如涉及强度和稳性，还应提交</w:t>
      </w:r>
      <w:r>
        <w:rPr>
          <w:rFonts w:hint="eastAsia"/>
          <w:szCs w:val="21"/>
        </w:rPr>
        <w:t>有关</w:t>
      </w:r>
      <w:r>
        <w:rPr>
          <w:szCs w:val="21"/>
        </w:rPr>
        <w:t>图纸和资料，并确</w:t>
      </w:r>
      <w:r>
        <w:rPr>
          <w:rFonts w:hint="eastAsia"/>
          <w:szCs w:val="21"/>
        </w:rPr>
        <w:t>认</w:t>
      </w:r>
      <w:r>
        <w:rPr>
          <w:szCs w:val="21"/>
        </w:rPr>
        <w:t>安全设备是否符合要求。</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23" w:name="_Toc70411336"/>
      <w:bookmarkStart w:id="24" w:name="_Toc50386753"/>
      <w:r>
        <w:rPr>
          <w:rFonts w:eastAsia="楷体"/>
          <w:b w:val="0"/>
          <w:bCs w:val="0"/>
          <w:snapToGrid w:val="0"/>
          <w:kern w:val="0"/>
          <w:sz w:val="28"/>
          <w:szCs w:val="20"/>
        </w:rPr>
        <w:t xml:space="preserve">第4节  </w:t>
      </w:r>
      <w:r>
        <w:rPr>
          <w:rFonts w:hint="eastAsia" w:eastAsia="楷体"/>
          <w:b w:val="0"/>
          <w:bCs w:val="0"/>
          <w:snapToGrid w:val="0"/>
          <w:kern w:val="0"/>
          <w:sz w:val="28"/>
          <w:szCs w:val="20"/>
        </w:rPr>
        <w:t>滚塑成型聚乙烯</w:t>
      </w:r>
      <w:r>
        <w:rPr>
          <w:rFonts w:eastAsia="楷体"/>
          <w:b w:val="0"/>
          <w:bCs w:val="0"/>
          <w:snapToGrid w:val="0"/>
          <w:kern w:val="0"/>
          <w:sz w:val="28"/>
          <w:szCs w:val="20"/>
        </w:rPr>
        <w:t>渔船</w:t>
      </w:r>
      <w:r>
        <w:rPr>
          <w:rFonts w:hint="eastAsia" w:eastAsia="楷体"/>
          <w:b w:val="0"/>
          <w:bCs w:val="0"/>
          <w:snapToGrid w:val="0"/>
          <w:kern w:val="0"/>
          <w:sz w:val="28"/>
          <w:szCs w:val="20"/>
        </w:rPr>
        <w:t>型式检验</w:t>
      </w:r>
      <w:bookmarkEnd w:id="23"/>
    </w:p>
    <w:p>
      <w:pPr>
        <w:adjustRightInd w:val="0"/>
        <w:snapToGrid w:val="0"/>
        <w:ind w:firstLine="420" w:firstLineChars="200"/>
        <w:rPr>
          <w:szCs w:val="21"/>
        </w:rPr>
      </w:pPr>
      <w:r>
        <w:rPr>
          <w:rFonts w:hint="eastAsia"/>
          <w:szCs w:val="21"/>
        </w:rPr>
        <w:t>2.</w:t>
      </w:r>
      <w:r>
        <w:rPr>
          <w:szCs w:val="21"/>
        </w:rPr>
        <w:t>4</w:t>
      </w:r>
      <w:r>
        <w:rPr>
          <w:rFonts w:hint="eastAsia"/>
          <w:szCs w:val="21"/>
        </w:rPr>
        <w:t>.1  申请</w:t>
      </w:r>
      <w:r>
        <w:rPr>
          <w:szCs w:val="21"/>
        </w:rPr>
        <w:t>型式检验的原型船</w:t>
      </w:r>
      <w:r>
        <w:rPr>
          <w:rFonts w:hint="eastAsia"/>
          <w:szCs w:val="21"/>
        </w:rPr>
        <w:t>/首制船</w:t>
      </w:r>
      <w:r>
        <w:rPr>
          <w:szCs w:val="21"/>
        </w:rPr>
        <w:t>的</w:t>
      </w:r>
      <w:r>
        <w:rPr>
          <w:rFonts w:hint="eastAsia"/>
          <w:szCs w:val="21"/>
        </w:rPr>
        <w:t>检验</w:t>
      </w:r>
      <w:r>
        <w:rPr>
          <w:szCs w:val="21"/>
        </w:rPr>
        <w:t>过程</w:t>
      </w:r>
      <w:r>
        <w:rPr>
          <w:rFonts w:hint="eastAsia"/>
          <w:szCs w:val="21"/>
        </w:rPr>
        <w:t>如下</w:t>
      </w:r>
      <w:r>
        <w:rPr>
          <w:szCs w:val="21"/>
        </w:rPr>
        <w:t>：</w:t>
      </w:r>
    </w:p>
    <w:p>
      <w:pPr>
        <w:adjustRightInd w:val="0"/>
        <w:snapToGrid w:val="0"/>
        <w:ind w:firstLine="420" w:firstLineChars="200"/>
        <w:rPr>
          <w:szCs w:val="21"/>
        </w:rPr>
      </w:pPr>
      <w:r>
        <w:rPr>
          <w:rFonts w:hint="eastAsia"/>
          <w:szCs w:val="21"/>
        </w:rPr>
        <w:t>（1）图纸</w:t>
      </w:r>
      <w:r>
        <w:rPr>
          <w:szCs w:val="21"/>
        </w:rPr>
        <w:t>和技术文件审查；</w:t>
      </w:r>
    </w:p>
    <w:p>
      <w:pPr>
        <w:adjustRightInd w:val="0"/>
        <w:snapToGrid w:val="0"/>
        <w:ind w:firstLine="420" w:firstLineChars="200"/>
        <w:rPr>
          <w:szCs w:val="21"/>
        </w:rPr>
      </w:pPr>
      <w:r>
        <w:rPr>
          <w:rFonts w:hint="eastAsia"/>
          <w:szCs w:val="21"/>
        </w:rPr>
        <w:t>（2）开工条件</w:t>
      </w:r>
      <w:r>
        <w:rPr>
          <w:szCs w:val="21"/>
        </w:rPr>
        <w:t>检查；</w:t>
      </w:r>
    </w:p>
    <w:p>
      <w:pPr>
        <w:adjustRightInd w:val="0"/>
        <w:snapToGrid w:val="0"/>
        <w:ind w:firstLine="420" w:firstLineChars="200"/>
        <w:rPr>
          <w:szCs w:val="21"/>
        </w:rPr>
      </w:pPr>
      <w:r>
        <w:rPr>
          <w:rFonts w:hint="eastAsia"/>
          <w:szCs w:val="21"/>
        </w:rPr>
        <w:t>（3）原型</w:t>
      </w:r>
      <w:r>
        <w:rPr>
          <w:szCs w:val="21"/>
        </w:rPr>
        <w:t>检验和试验。</w:t>
      </w:r>
    </w:p>
    <w:p>
      <w:pPr>
        <w:adjustRightInd w:val="0"/>
        <w:snapToGrid w:val="0"/>
        <w:ind w:firstLine="420" w:firstLineChars="200"/>
        <w:rPr>
          <w:szCs w:val="21"/>
        </w:rPr>
      </w:pPr>
      <w:r>
        <w:rPr>
          <w:rFonts w:hint="eastAsia"/>
          <w:szCs w:val="21"/>
        </w:rPr>
        <w:t>2.</w:t>
      </w:r>
      <w:r>
        <w:rPr>
          <w:szCs w:val="21"/>
        </w:rPr>
        <w:t>4</w:t>
      </w:r>
      <w:r>
        <w:rPr>
          <w:rFonts w:hint="eastAsia"/>
          <w:szCs w:val="21"/>
        </w:rPr>
        <w:t>.</w:t>
      </w:r>
      <w:r>
        <w:rPr>
          <w:szCs w:val="21"/>
        </w:rPr>
        <w:t>2</w:t>
      </w:r>
      <w:r>
        <w:rPr>
          <w:rFonts w:hint="eastAsia"/>
          <w:szCs w:val="21"/>
        </w:rPr>
        <w:t xml:space="preserve">  申请型式</w:t>
      </w:r>
      <w:r>
        <w:rPr>
          <w:szCs w:val="21"/>
        </w:rPr>
        <w:t>检验</w:t>
      </w:r>
      <w:r>
        <w:rPr>
          <w:rFonts w:hint="eastAsia"/>
          <w:szCs w:val="21"/>
        </w:rPr>
        <w:t>的渔船应</w:t>
      </w:r>
      <w:r>
        <w:rPr>
          <w:szCs w:val="21"/>
        </w:rPr>
        <w:t>按照</w:t>
      </w:r>
      <w:r>
        <w:rPr>
          <w:rFonts w:hint="eastAsia"/>
          <w:szCs w:val="21"/>
        </w:rPr>
        <w:t>本章</w:t>
      </w:r>
      <w:r>
        <w:rPr>
          <w:szCs w:val="21"/>
        </w:rPr>
        <w:t>第</w:t>
      </w:r>
      <w:r>
        <w:rPr>
          <w:rFonts w:hint="eastAsia"/>
          <w:szCs w:val="21"/>
        </w:rPr>
        <w:t>6节</w:t>
      </w:r>
      <w:r>
        <w:rPr>
          <w:szCs w:val="21"/>
        </w:rPr>
        <w:t>提交图纸</w:t>
      </w:r>
      <w:r>
        <w:rPr>
          <w:rFonts w:hint="eastAsia"/>
          <w:szCs w:val="21"/>
        </w:rPr>
        <w:t>并</w:t>
      </w:r>
      <w:r>
        <w:rPr>
          <w:szCs w:val="21"/>
        </w:rPr>
        <w:t>通过审查，</w:t>
      </w:r>
      <w:r>
        <w:rPr>
          <w:rFonts w:hint="eastAsia"/>
          <w:szCs w:val="21"/>
        </w:rPr>
        <w:t>按照本章</w:t>
      </w:r>
      <w:r>
        <w:rPr>
          <w:szCs w:val="21"/>
        </w:rPr>
        <w:t>第</w:t>
      </w:r>
      <w:r>
        <w:rPr>
          <w:rFonts w:hint="eastAsia"/>
          <w:szCs w:val="21"/>
        </w:rPr>
        <w:t>2节</w:t>
      </w:r>
      <w:r>
        <w:rPr>
          <w:szCs w:val="21"/>
        </w:rPr>
        <w:t>提交开工</w:t>
      </w:r>
      <w:r>
        <w:rPr>
          <w:rFonts w:hint="eastAsia"/>
          <w:szCs w:val="21"/>
        </w:rPr>
        <w:t>前</w:t>
      </w:r>
      <w:r>
        <w:rPr>
          <w:szCs w:val="21"/>
        </w:rPr>
        <w:t>检查文件，并</w:t>
      </w:r>
      <w:r>
        <w:rPr>
          <w:rFonts w:hint="eastAsia"/>
          <w:szCs w:val="21"/>
        </w:rPr>
        <w:t>按照</w:t>
      </w:r>
      <w:r>
        <w:rPr>
          <w:szCs w:val="21"/>
        </w:rPr>
        <w:t>初次检验的</w:t>
      </w:r>
      <w:r>
        <w:rPr>
          <w:rFonts w:hint="eastAsia"/>
          <w:szCs w:val="21"/>
        </w:rPr>
        <w:t>项目进行原型</w:t>
      </w:r>
      <w:r>
        <w:rPr>
          <w:szCs w:val="21"/>
        </w:rPr>
        <w:t>检验和试验</w:t>
      </w:r>
      <w:r>
        <w:rPr>
          <w:rFonts w:hint="eastAsia"/>
          <w:szCs w:val="21"/>
        </w:rPr>
        <w:t>，对渔船进行</w:t>
      </w:r>
      <w:r>
        <w:rPr>
          <w:szCs w:val="21"/>
        </w:rPr>
        <w:t>全面</w:t>
      </w:r>
      <w:r>
        <w:rPr>
          <w:rFonts w:hint="eastAsia"/>
          <w:szCs w:val="21"/>
        </w:rPr>
        <w:t>检验</w:t>
      </w:r>
      <w:r>
        <w:rPr>
          <w:szCs w:val="21"/>
        </w:rPr>
        <w:t>。</w:t>
      </w:r>
    </w:p>
    <w:p>
      <w:pPr>
        <w:adjustRightInd w:val="0"/>
        <w:snapToGrid w:val="0"/>
        <w:ind w:firstLine="420" w:firstLineChars="200"/>
        <w:rPr>
          <w:szCs w:val="21"/>
        </w:rPr>
      </w:pPr>
      <w:r>
        <w:rPr>
          <w:rFonts w:hint="eastAsia"/>
          <w:szCs w:val="21"/>
        </w:rPr>
        <w:t>2.</w:t>
      </w:r>
      <w:r>
        <w:rPr>
          <w:szCs w:val="21"/>
        </w:rPr>
        <w:t>4</w:t>
      </w:r>
      <w:r>
        <w:rPr>
          <w:rFonts w:hint="eastAsia"/>
          <w:szCs w:val="21"/>
        </w:rPr>
        <w:t>.</w:t>
      </w:r>
      <w:r>
        <w:rPr>
          <w:szCs w:val="21"/>
        </w:rPr>
        <w:t>3</w:t>
      </w:r>
      <w:r>
        <w:rPr>
          <w:rFonts w:hint="eastAsia"/>
          <w:szCs w:val="21"/>
        </w:rPr>
        <w:t xml:space="preserve">  申请型式</w:t>
      </w:r>
      <w:r>
        <w:rPr>
          <w:szCs w:val="21"/>
        </w:rPr>
        <w:t>检验</w:t>
      </w:r>
      <w:r>
        <w:rPr>
          <w:rFonts w:hint="eastAsia"/>
          <w:szCs w:val="21"/>
        </w:rPr>
        <w:t>的</w:t>
      </w:r>
      <w:r>
        <w:rPr>
          <w:szCs w:val="21"/>
        </w:rPr>
        <w:t>原型船</w:t>
      </w:r>
      <w:r>
        <w:rPr>
          <w:rFonts w:hint="eastAsia"/>
          <w:szCs w:val="21"/>
        </w:rPr>
        <w:t>/首制船应进行材料成型板材的力学性能试验，</w:t>
      </w:r>
      <w:r>
        <w:rPr>
          <w:szCs w:val="21"/>
        </w:rPr>
        <w:t>并</w:t>
      </w:r>
      <w:r>
        <w:rPr>
          <w:rFonts w:hint="eastAsia"/>
          <w:szCs w:val="21"/>
        </w:rPr>
        <w:t>进行厚度测量。</w:t>
      </w:r>
    </w:p>
    <w:p>
      <w:pPr>
        <w:adjustRightInd w:val="0"/>
        <w:snapToGrid w:val="0"/>
        <w:ind w:firstLine="420" w:firstLineChars="200"/>
        <w:rPr>
          <w:szCs w:val="21"/>
        </w:rPr>
      </w:pPr>
      <w:r>
        <w:rPr>
          <w:rFonts w:hint="eastAsia"/>
          <w:szCs w:val="21"/>
        </w:rPr>
        <w:t>2.</w:t>
      </w:r>
      <w:r>
        <w:rPr>
          <w:szCs w:val="21"/>
        </w:rPr>
        <w:t>4</w:t>
      </w:r>
      <w:r>
        <w:rPr>
          <w:rFonts w:hint="eastAsia"/>
          <w:szCs w:val="21"/>
        </w:rPr>
        <w:t>.</w:t>
      </w:r>
      <w:r>
        <w:rPr>
          <w:szCs w:val="21"/>
        </w:rPr>
        <w:t>4</w:t>
      </w:r>
      <w:r>
        <w:rPr>
          <w:rFonts w:hint="eastAsia"/>
          <w:szCs w:val="21"/>
        </w:rPr>
        <w:t xml:space="preserve">  申请型式</w:t>
      </w:r>
      <w:r>
        <w:rPr>
          <w:szCs w:val="21"/>
        </w:rPr>
        <w:t>检验</w:t>
      </w:r>
      <w:r>
        <w:rPr>
          <w:rFonts w:hint="eastAsia"/>
          <w:szCs w:val="21"/>
        </w:rPr>
        <w:t>的</w:t>
      </w:r>
      <w:r>
        <w:rPr>
          <w:szCs w:val="21"/>
        </w:rPr>
        <w:t>原型船</w:t>
      </w:r>
      <w:r>
        <w:rPr>
          <w:rFonts w:hint="eastAsia"/>
          <w:szCs w:val="21"/>
        </w:rPr>
        <w:t>/首制船模型生产累积数超过200条时，应增加一次抽检。</w:t>
      </w:r>
    </w:p>
    <w:p>
      <w:pPr>
        <w:adjustRightInd w:val="0"/>
        <w:snapToGrid w:val="0"/>
        <w:ind w:firstLine="420" w:firstLineChars="200"/>
        <w:rPr>
          <w:szCs w:val="21"/>
        </w:rPr>
      </w:pPr>
      <w:r>
        <w:rPr>
          <w:rFonts w:hint="eastAsia"/>
          <w:szCs w:val="21"/>
        </w:rPr>
        <w:t>2.</w:t>
      </w:r>
      <w:r>
        <w:rPr>
          <w:szCs w:val="21"/>
        </w:rPr>
        <w:t>4</w:t>
      </w:r>
      <w:r>
        <w:rPr>
          <w:rFonts w:hint="eastAsia"/>
          <w:szCs w:val="21"/>
        </w:rPr>
        <w:t>.</w:t>
      </w:r>
      <w:r>
        <w:rPr>
          <w:szCs w:val="21"/>
        </w:rPr>
        <w:t>5</w:t>
      </w:r>
      <w:r>
        <w:rPr>
          <w:rFonts w:hint="eastAsia"/>
          <w:szCs w:val="21"/>
        </w:rPr>
        <w:t xml:space="preserve">  申请</w:t>
      </w:r>
      <w:r>
        <w:rPr>
          <w:szCs w:val="21"/>
        </w:rPr>
        <w:t>型式检验的</w:t>
      </w:r>
      <w:r>
        <w:rPr>
          <w:rFonts w:hint="eastAsia"/>
          <w:szCs w:val="21"/>
        </w:rPr>
        <w:t>滚塑成型聚乙烯</w:t>
      </w:r>
      <w:r>
        <w:rPr>
          <w:szCs w:val="21"/>
        </w:rPr>
        <w:t>渔船</w:t>
      </w:r>
      <w:r>
        <w:rPr>
          <w:rFonts w:hint="eastAsia"/>
          <w:szCs w:val="21"/>
        </w:rPr>
        <w:t>，除</w:t>
      </w:r>
      <w:r>
        <w:rPr>
          <w:szCs w:val="21"/>
        </w:rPr>
        <w:t>原型船</w:t>
      </w:r>
      <w:r>
        <w:rPr>
          <w:rFonts w:hint="eastAsia"/>
          <w:szCs w:val="21"/>
        </w:rPr>
        <w:t>/首制船外的其他船舶的检验，船舶检验</w:t>
      </w:r>
      <w:r>
        <w:rPr>
          <w:szCs w:val="21"/>
        </w:rPr>
        <w:t>部门</w:t>
      </w:r>
      <w:r>
        <w:rPr>
          <w:rFonts w:hint="eastAsia"/>
          <w:szCs w:val="21"/>
        </w:rPr>
        <w:t>可</w:t>
      </w:r>
      <w:r>
        <w:rPr>
          <w:szCs w:val="21"/>
        </w:rPr>
        <w:t>通过</w:t>
      </w:r>
      <w:r>
        <w:rPr>
          <w:rFonts w:hint="eastAsia"/>
          <w:szCs w:val="21"/>
        </w:rPr>
        <w:t>审查建造企业出具的渔船建造质量证明书的</w:t>
      </w:r>
      <w:r>
        <w:rPr>
          <w:szCs w:val="21"/>
        </w:rPr>
        <w:t>方式签发证书</w:t>
      </w:r>
      <w:r>
        <w:rPr>
          <w:rFonts w:hint="eastAsia"/>
          <w:szCs w:val="21"/>
        </w:rPr>
        <w:t>。其</w:t>
      </w:r>
      <w:r>
        <w:rPr>
          <w:szCs w:val="21"/>
        </w:rPr>
        <w:t>建造质量</w:t>
      </w:r>
      <w:r>
        <w:rPr>
          <w:rFonts w:hint="eastAsia"/>
          <w:szCs w:val="21"/>
        </w:rPr>
        <w:t>由</w:t>
      </w:r>
      <w:r>
        <w:rPr>
          <w:szCs w:val="21"/>
        </w:rPr>
        <w:t>建造的</w:t>
      </w:r>
      <w:r>
        <w:rPr>
          <w:rFonts w:hint="eastAsia"/>
          <w:szCs w:val="21"/>
        </w:rPr>
        <w:t>单位</w:t>
      </w:r>
      <w:r>
        <w:rPr>
          <w:szCs w:val="21"/>
        </w:rPr>
        <w:t>承担主体责任。</w:t>
      </w:r>
    </w:p>
    <w:p>
      <w:pPr>
        <w:adjustRightInd w:val="0"/>
        <w:snapToGrid w:val="0"/>
        <w:ind w:firstLine="420" w:firstLineChars="200"/>
        <w:rPr>
          <w:szCs w:val="21"/>
        </w:rPr>
      </w:pPr>
      <w:r>
        <w:rPr>
          <w:rFonts w:hint="eastAsia"/>
          <w:szCs w:val="21"/>
        </w:rPr>
        <w:t>2.</w:t>
      </w:r>
      <w:r>
        <w:rPr>
          <w:szCs w:val="21"/>
        </w:rPr>
        <w:t>4</w:t>
      </w:r>
      <w:r>
        <w:rPr>
          <w:rFonts w:hint="eastAsia"/>
          <w:szCs w:val="21"/>
        </w:rPr>
        <w:t>.</w:t>
      </w:r>
      <w:r>
        <w:rPr>
          <w:szCs w:val="21"/>
        </w:rPr>
        <w:t>6</w:t>
      </w:r>
      <w:r>
        <w:rPr>
          <w:rFonts w:hint="eastAsia"/>
          <w:szCs w:val="21"/>
        </w:rPr>
        <w:t xml:space="preserve">  船舶</w:t>
      </w:r>
      <w:r>
        <w:rPr>
          <w:szCs w:val="21"/>
        </w:rPr>
        <w:t>检验机构</w:t>
      </w:r>
      <w:r>
        <w:rPr>
          <w:rFonts w:hint="eastAsia"/>
          <w:szCs w:val="21"/>
        </w:rPr>
        <w:t>有</w:t>
      </w:r>
      <w:r>
        <w:rPr>
          <w:szCs w:val="21"/>
        </w:rPr>
        <w:t>权对原型船</w:t>
      </w:r>
      <w:r>
        <w:rPr>
          <w:rFonts w:hint="eastAsia"/>
          <w:szCs w:val="21"/>
        </w:rPr>
        <w:t>/首制船以外</w:t>
      </w:r>
      <w:r>
        <w:rPr>
          <w:szCs w:val="21"/>
        </w:rPr>
        <w:t>的其他船舶进行抽查。</w:t>
      </w:r>
      <w:r>
        <w:rPr>
          <w:rFonts w:hint="eastAsia"/>
          <w:szCs w:val="21"/>
        </w:rPr>
        <w:t>当抽查不合格时，则需从该批渔船中另取双倍试样进行复检，复检仍不合格的，则</w:t>
      </w:r>
      <w:r>
        <w:rPr>
          <w:szCs w:val="21"/>
        </w:rPr>
        <w:t>该</w:t>
      </w:r>
      <w:r>
        <w:rPr>
          <w:rFonts w:hint="eastAsia"/>
          <w:szCs w:val="21"/>
        </w:rPr>
        <w:t>批每艘船均应进行检验。</w:t>
      </w:r>
    </w:p>
    <w:p>
      <w:pPr>
        <w:adjustRightInd w:val="0"/>
        <w:snapToGrid w:val="0"/>
        <w:ind w:firstLine="420" w:firstLineChars="200"/>
        <w:rPr>
          <w:szCs w:val="21"/>
        </w:rPr>
      </w:pPr>
      <w:r>
        <w:rPr>
          <w:rFonts w:hint="eastAsia"/>
          <w:szCs w:val="21"/>
        </w:rPr>
        <w:t>2.</w:t>
      </w:r>
      <w:r>
        <w:rPr>
          <w:szCs w:val="21"/>
        </w:rPr>
        <w:t>4</w:t>
      </w:r>
      <w:r>
        <w:rPr>
          <w:rFonts w:hint="eastAsia"/>
          <w:szCs w:val="21"/>
        </w:rPr>
        <w:t>.</w:t>
      </w:r>
      <w:r>
        <w:rPr>
          <w:szCs w:val="21"/>
        </w:rPr>
        <w:t>7</w:t>
      </w:r>
      <w:r>
        <w:rPr>
          <w:rFonts w:hint="eastAsia"/>
          <w:szCs w:val="21"/>
        </w:rPr>
        <w:t xml:space="preserve">  型式</w:t>
      </w:r>
      <w:r>
        <w:rPr>
          <w:szCs w:val="21"/>
        </w:rPr>
        <w:t>检验</w:t>
      </w:r>
      <w:r>
        <w:rPr>
          <w:rFonts w:hint="eastAsia"/>
          <w:szCs w:val="21"/>
        </w:rPr>
        <w:t>证书</w:t>
      </w:r>
      <w:r>
        <w:rPr>
          <w:szCs w:val="21"/>
        </w:rPr>
        <w:t>的</w:t>
      </w:r>
      <w:r>
        <w:rPr>
          <w:rFonts w:hint="eastAsia"/>
          <w:szCs w:val="21"/>
        </w:rPr>
        <w:t>保持和换</w:t>
      </w:r>
      <w:r>
        <w:rPr>
          <w:szCs w:val="21"/>
        </w:rPr>
        <w:t>新</w:t>
      </w:r>
    </w:p>
    <w:p>
      <w:pPr>
        <w:adjustRightInd w:val="0"/>
        <w:snapToGrid w:val="0"/>
        <w:ind w:firstLine="420" w:firstLineChars="200"/>
        <w:rPr>
          <w:szCs w:val="21"/>
        </w:rPr>
      </w:pPr>
      <w:r>
        <w:rPr>
          <w:rFonts w:hint="eastAsia"/>
          <w:szCs w:val="21"/>
        </w:rPr>
        <w:t>2.</w:t>
      </w:r>
      <w:r>
        <w:rPr>
          <w:szCs w:val="21"/>
        </w:rPr>
        <w:t>4</w:t>
      </w:r>
      <w:r>
        <w:rPr>
          <w:rFonts w:hint="eastAsia"/>
          <w:szCs w:val="21"/>
        </w:rPr>
        <w:t>.</w:t>
      </w:r>
      <w:r>
        <w:rPr>
          <w:szCs w:val="21"/>
        </w:rPr>
        <w:t>7</w:t>
      </w:r>
      <w:r>
        <w:rPr>
          <w:rFonts w:hint="eastAsia"/>
          <w:szCs w:val="21"/>
        </w:rPr>
        <w:t>.</w:t>
      </w:r>
      <w:r>
        <w:rPr>
          <w:szCs w:val="21"/>
        </w:rPr>
        <w:t>1</w:t>
      </w:r>
      <w:r>
        <w:rPr>
          <w:rFonts w:hint="eastAsia"/>
          <w:szCs w:val="21"/>
        </w:rPr>
        <w:t xml:space="preserve">  建造单位</w:t>
      </w:r>
      <w:r>
        <w:rPr>
          <w:szCs w:val="21"/>
        </w:rPr>
        <w:t>应在证书到期</w:t>
      </w:r>
      <w:r>
        <w:rPr>
          <w:rFonts w:hint="eastAsia"/>
          <w:szCs w:val="21"/>
        </w:rPr>
        <w:t>前3个</w:t>
      </w:r>
      <w:r>
        <w:rPr>
          <w:szCs w:val="21"/>
        </w:rPr>
        <w:t>月</w:t>
      </w:r>
      <w:r>
        <w:rPr>
          <w:rFonts w:hint="eastAsia"/>
          <w:szCs w:val="21"/>
        </w:rPr>
        <w:t>向</w:t>
      </w:r>
      <w:r>
        <w:rPr>
          <w:szCs w:val="21"/>
        </w:rPr>
        <w:t>船舶检验机构申请</w:t>
      </w:r>
      <w:r>
        <w:rPr>
          <w:rFonts w:hint="eastAsia"/>
          <w:szCs w:val="21"/>
        </w:rPr>
        <w:t>，</w:t>
      </w:r>
      <w:r>
        <w:rPr>
          <w:szCs w:val="21"/>
        </w:rPr>
        <w:t>并通知任何有关的变更情况</w:t>
      </w:r>
      <w:r>
        <w:rPr>
          <w:rFonts w:hint="eastAsia"/>
          <w:szCs w:val="21"/>
        </w:rPr>
        <w:t>。</w:t>
      </w:r>
    </w:p>
    <w:p>
      <w:pPr>
        <w:adjustRightInd w:val="0"/>
        <w:snapToGrid w:val="0"/>
        <w:ind w:firstLine="420" w:firstLineChars="200"/>
        <w:rPr>
          <w:szCs w:val="21"/>
        </w:rPr>
      </w:pPr>
      <w:r>
        <w:rPr>
          <w:rFonts w:hint="eastAsia"/>
          <w:szCs w:val="21"/>
        </w:rPr>
        <w:t>2.</w:t>
      </w:r>
      <w:r>
        <w:rPr>
          <w:szCs w:val="21"/>
        </w:rPr>
        <w:t>4</w:t>
      </w:r>
      <w:r>
        <w:rPr>
          <w:rFonts w:hint="eastAsia"/>
          <w:szCs w:val="21"/>
        </w:rPr>
        <w:t>.</w:t>
      </w:r>
      <w:r>
        <w:rPr>
          <w:szCs w:val="21"/>
        </w:rPr>
        <w:t>7</w:t>
      </w:r>
      <w:r>
        <w:rPr>
          <w:rFonts w:hint="eastAsia"/>
          <w:szCs w:val="21"/>
        </w:rPr>
        <w:t>.</w:t>
      </w:r>
      <w:r>
        <w:rPr>
          <w:szCs w:val="21"/>
        </w:rPr>
        <w:t>2</w:t>
      </w:r>
      <w:r>
        <w:rPr>
          <w:rFonts w:hint="eastAsia"/>
          <w:szCs w:val="21"/>
        </w:rPr>
        <w:t xml:space="preserve">  </w:t>
      </w:r>
      <w:r>
        <w:rPr>
          <w:szCs w:val="21"/>
        </w:rPr>
        <w:t>船舶</w:t>
      </w:r>
      <w:r>
        <w:rPr>
          <w:rFonts w:hint="eastAsia"/>
          <w:szCs w:val="21"/>
        </w:rPr>
        <w:t>检验</w:t>
      </w:r>
      <w:r>
        <w:rPr>
          <w:szCs w:val="21"/>
        </w:rPr>
        <w:t>机构应：</w:t>
      </w:r>
    </w:p>
    <w:p>
      <w:pPr>
        <w:adjustRightInd w:val="0"/>
        <w:snapToGrid w:val="0"/>
        <w:ind w:firstLine="420" w:firstLineChars="200"/>
        <w:rPr>
          <w:szCs w:val="21"/>
        </w:rPr>
      </w:pPr>
      <w:r>
        <w:rPr>
          <w:rFonts w:hint="eastAsia"/>
          <w:szCs w:val="21"/>
        </w:rPr>
        <w:t>（1）重新</w:t>
      </w:r>
      <w:r>
        <w:rPr>
          <w:szCs w:val="21"/>
        </w:rPr>
        <w:t>审查图纸，</w:t>
      </w:r>
      <w:r>
        <w:rPr>
          <w:rFonts w:hint="eastAsia"/>
          <w:szCs w:val="21"/>
        </w:rPr>
        <w:t>核实</w:t>
      </w:r>
      <w:r>
        <w:rPr>
          <w:szCs w:val="21"/>
        </w:rPr>
        <w:t>其</w:t>
      </w:r>
      <w:r>
        <w:rPr>
          <w:rFonts w:hint="eastAsia"/>
          <w:szCs w:val="21"/>
        </w:rPr>
        <w:t>适</w:t>
      </w:r>
      <w:r>
        <w:rPr>
          <w:szCs w:val="21"/>
        </w:rPr>
        <w:t>用的技术法规的变化情况</w:t>
      </w:r>
      <w:r>
        <w:rPr>
          <w:rFonts w:hint="eastAsia"/>
          <w:szCs w:val="21"/>
        </w:rPr>
        <w:t>；</w:t>
      </w:r>
    </w:p>
    <w:p>
      <w:pPr>
        <w:adjustRightInd w:val="0"/>
        <w:snapToGrid w:val="0"/>
        <w:ind w:firstLine="420" w:firstLineChars="200"/>
        <w:rPr>
          <w:szCs w:val="21"/>
        </w:rPr>
      </w:pPr>
      <w:r>
        <w:rPr>
          <w:rFonts w:hint="eastAsia"/>
          <w:szCs w:val="21"/>
        </w:rPr>
        <w:t>（2）对开工条件进行</w:t>
      </w:r>
      <w:r>
        <w:rPr>
          <w:szCs w:val="21"/>
        </w:rPr>
        <w:t>检查；</w:t>
      </w:r>
    </w:p>
    <w:p>
      <w:pPr>
        <w:adjustRightInd w:val="0"/>
        <w:snapToGrid w:val="0"/>
        <w:ind w:firstLine="420" w:firstLineChars="200"/>
        <w:rPr>
          <w:szCs w:val="21"/>
        </w:rPr>
      </w:pPr>
      <w:r>
        <w:rPr>
          <w:rFonts w:hint="eastAsia"/>
          <w:szCs w:val="21"/>
        </w:rPr>
        <w:t>（3）如设计</w:t>
      </w:r>
      <w:r>
        <w:rPr>
          <w:szCs w:val="21"/>
        </w:rPr>
        <w:t>和建造工艺未发生变化，可免除</w:t>
      </w:r>
      <w:r>
        <w:rPr>
          <w:rFonts w:hint="eastAsia"/>
          <w:szCs w:val="21"/>
        </w:rPr>
        <w:t>原型</w:t>
      </w:r>
      <w:r>
        <w:rPr>
          <w:szCs w:val="21"/>
        </w:rPr>
        <w:t>检验和试验</w:t>
      </w:r>
      <w:r>
        <w:rPr>
          <w:rFonts w:hint="eastAsia"/>
          <w:szCs w:val="21"/>
        </w:rPr>
        <w:t>。</w:t>
      </w:r>
    </w:p>
    <w:p>
      <w:pPr>
        <w:adjustRightInd w:val="0"/>
        <w:snapToGrid w:val="0"/>
        <w:ind w:firstLine="420" w:firstLineChars="200"/>
        <w:rPr>
          <w:szCs w:val="21"/>
        </w:rPr>
      </w:pPr>
      <w:r>
        <w:rPr>
          <w:szCs w:val="21"/>
        </w:rPr>
        <w:t>2</w:t>
      </w:r>
      <w:r>
        <w:rPr>
          <w:rFonts w:hint="eastAsia"/>
          <w:szCs w:val="21"/>
        </w:rPr>
        <w:t>.</w:t>
      </w:r>
      <w:r>
        <w:rPr>
          <w:szCs w:val="21"/>
        </w:rPr>
        <w:t>4</w:t>
      </w:r>
      <w:r>
        <w:rPr>
          <w:rFonts w:hint="eastAsia"/>
          <w:szCs w:val="21"/>
        </w:rPr>
        <w:t>.</w:t>
      </w:r>
      <w:r>
        <w:rPr>
          <w:szCs w:val="21"/>
        </w:rPr>
        <w:t>8</w:t>
      </w:r>
      <w:r>
        <w:rPr>
          <w:rFonts w:hint="eastAsia"/>
          <w:szCs w:val="21"/>
        </w:rPr>
        <w:t xml:space="preserve">  有</w:t>
      </w:r>
      <w:r>
        <w:rPr>
          <w:szCs w:val="21"/>
        </w:rPr>
        <w:t>下列情况之一</w:t>
      </w:r>
      <w:r>
        <w:rPr>
          <w:rFonts w:hint="eastAsia"/>
          <w:szCs w:val="21"/>
        </w:rPr>
        <w:t>时</w:t>
      </w:r>
      <w:r>
        <w:rPr>
          <w:szCs w:val="21"/>
        </w:rPr>
        <w:t>，</w:t>
      </w:r>
      <w:r>
        <w:rPr>
          <w:rFonts w:hint="eastAsia"/>
          <w:szCs w:val="21"/>
        </w:rPr>
        <w:t>船舶</w:t>
      </w:r>
      <w:r>
        <w:rPr>
          <w:szCs w:val="21"/>
        </w:rPr>
        <w:t>检验证书自动失效：</w:t>
      </w:r>
    </w:p>
    <w:p>
      <w:pPr>
        <w:adjustRightInd w:val="0"/>
        <w:snapToGrid w:val="0"/>
        <w:ind w:firstLine="420" w:firstLineChars="200"/>
        <w:rPr>
          <w:szCs w:val="21"/>
        </w:rPr>
      </w:pPr>
      <w:r>
        <w:rPr>
          <w:rFonts w:hint="eastAsia"/>
          <w:szCs w:val="21"/>
        </w:rPr>
        <w:t>（1）证书</w:t>
      </w:r>
      <w:r>
        <w:rPr>
          <w:szCs w:val="21"/>
        </w:rPr>
        <w:t>所</w:t>
      </w:r>
      <w:r>
        <w:rPr>
          <w:rFonts w:hint="eastAsia"/>
          <w:szCs w:val="21"/>
        </w:rPr>
        <w:t>载</w:t>
      </w:r>
      <w:r>
        <w:rPr>
          <w:szCs w:val="21"/>
        </w:rPr>
        <w:t>聚乙烯渔船进行重新设计；</w:t>
      </w:r>
    </w:p>
    <w:p>
      <w:pPr>
        <w:adjustRightInd w:val="0"/>
        <w:snapToGrid w:val="0"/>
        <w:ind w:firstLine="420" w:firstLineChars="200"/>
        <w:rPr>
          <w:szCs w:val="21"/>
        </w:rPr>
      </w:pPr>
      <w:r>
        <w:rPr>
          <w:rFonts w:hint="eastAsia"/>
          <w:szCs w:val="21"/>
        </w:rPr>
        <w:t>（2）生产</w:t>
      </w:r>
      <w:r>
        <w:rPr>
          <w:szCs w:val="21"/>
        </w:rPr>
        <w:t>方式</w:t>
      </w:r>
      <w:r>
        <w:rPr>
          <w:rFonts w:hint="eastAsia"/>
          <w:szCs w:val="21"/>
        </w:rPr>
        <w:t>发生</w:t>
      </w:r>
      <w:r>
        <w:rPr>
          <w:szCs w:val="21"/>
        </w:rPr>
        <w:t>变化</w:t>
      </w:r>
      <w:r>
        <w:rPr>
          <w:rFonts w:hint="eastAsia"/>
          <w:szCs w:val="21"/>
        </w:rPr>
        <w:t>。</w:t>
      </w:r>
    </w:p>
    <w:p>
      <w:pPr>
        <w:adjustRightInd w:val="0"/>
        <w:snapToGrid w:val="0"/>
        <w:ind w:firstLine="420" w:firstLineChars="200"/>
        <w:rPr>
          <w:szCs w:val="21"/>
        </w:rPr>
      </w:pPr>
      <w:r>
        <w:rPr>
          <w:rFonts w:hint="eastAsia"/>
          <w:szCs w:val="21"/>
        </w:rPr>
        <w:t>（3）建造</w:t>
      </w:r>
      <w:r>
        <w:rPr>
          <w:szCs w:val="21"/>
        </w:rPr>
        <w:t>单位管理组织方式发生</w:t>
      </w:r>
      <w:r>
        <w:rPr>
          <w:rFonts w:hint="eastAsia"/>
          <w:szCs w:val="21"/>
        </w:rPr>
        <w:t>变化</w:t>
      </w:r>
      <w:r>
        <w:rPr>
          <w:szCs w:val="21"/>
        </w:rPr>
        <w:t>。</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25" w:name="_Toc70411337"/>
      <w:r>
        <w:rPr>
          <w:rFonts w:eastAsia="楷体"/>
          <w:b w:val="0"/>
          <w:bCs w:val="0"/>
          <w:snapToGrid w:val="0"/>
          <w:kern w:val="0"/>
          <w:sz w:val="28"/>
          <w:szCs w:val="20"/>
        </w:rPr>
        <w:t xml:space="preserve">第5节  </w:t>
      </w:r>
      <w:r>
        <w:rPr>
          <w:rFonts w:hint="eastAsia" w:eastAsia="楷体"/>
          <w:b w:val="0"/>
          <w:bCs w:val="0"/>
          <w:snapToGrid w:val="0"/>
          <w:kern w:val="0"/>
          <w:sz w:val="28"/>
          <w:szCs w:val="20"/>
        </w:rPr>
        <w:t>证书</w:t>
      </w:r>
      <w:bookmarkEnd w:id="24"/>
      <w:bookmarkEnd w:id="25"/>
    </w:p>
    <w:p>
      <w:pPr>
        <w:adjustRightInd w:val="0"/>
        <w:snapToGrid w:val="0"/>
        <w:ind w:firstLine="420" w:firstLineChars="200"/>
        <w:rPr>
          <w:szCs w:val="21"/>
        </w:rPr>
      </w:pPr>
      <w:r>
        <w:rPr>
          <w:szCs w:val="21"/>
        </w:rPr>
        <w:t>2</w:t>
      </w:r>
      <w:r>
        <w:rPr>
          <w:rFonts w:hint="eastAsia"/>
          <w:szCs w:val="21"/>
        </w:rPr>
        <w:t>.</w:t>
      </w:r>
      <w:r>
        <w:rPr>
          <w:szCs w:val="21"/>
        </w:rPr>
        <w:t>5</w:t>
      </w:r>
      <w:r>
        <w:rPr>
          <w:rFonts w:hint="eastAsia"/>
          <w:szCs w:val="21"/>
        </w:rPr>
        <w:t>.1  符合</w:t>
      </w:r>
      <w:r>
        <w:rPr>
          <w:szCs w:val="21"/>
        </w:rPr>
        <w:t>本</w:t>
      </w:r>
      <w:r>
        <w:rPr>
          <w:rFonts w:hint="eastAsia"/>
          <w:szCs w:val="21"/>
        </w:rPr>
        <w:t>暂行</w:t>
      </w:r>
      <w:r>
        <w:rPr>
          <w:szCs w:val="21"/>
        </w:rPr>
        <w:t>规则的聚乙烯渔船，经检验合格，</w:t>
      </w:r>
      <w:r>
        <w:rPr>
          <w:rFonts w:hint="eastAsia"/>
          <w:szCs w:val="21"/>
        </w:rPr>
        <w:t>船舶检验机构按照</w:t>
      </w:r>
      <w:r>
        <w:rPr>
          <w:szCs w:val="21"/>
        </w:rPr>
        <w:t>相应检验法规</w:t>
      </w:r>
      <w:r>
        <w:rPr>
          <w:rFonts w:hint="eastAsia"/>
          <w:szCs w:val="21"/>
        </w:rPr>
        <w:t>签发或签署相应</w:t>
      </w:r>
      <w:r>
        <w:rPr>
          <w:szCs w:val="21"/>
        </w:rPr>
        <w:t>证书</w:t>
      </w:r>
      <w:r>
        <w:rPr>
          <w:rFonts w:hint="eastAsia"/>
          <w:szCs w:val="21"/>
        </w:rPr>
        <w:t>，</w:t>
      </w:r>
      <w:r>
        <w:rPr>
          <w:szCs w:val="21"/>
        </w:rPr>
        <w:t>并在</w:t>
      </w:r>
      <w:r>
        <w:rPr>
          <w:rFonts w:hint="eastAsia"/>
          <w:szCs w:val="21"/>
        </w:rPr>
        <w:t>安全</w:t>
      </w:r>
      <w:r>
        <w:rPr>
          <w:szCs w:val="21"/>
        </w:rPr>
        <w:t>与环保证书</w:t>
      </w:r>
      <w:r>
        <w:rPr>
          <w:rFonts w:hint="eastAsia"/>
          <w:szCs w:val="21"/>
        </w:rPr>
        <w:t>记事栏中</w:t>
      </w:r>
      <w:r>
        <w:rPr>
          <w:szCs w:val="21"/>
        </w:rPr>
        <w:t>签署“</w:t>
      </w:r>
      <w:r>
        <w:rPr>
          <w:rFonts w:hint="eastAsia"/>
          <w:szCs w:val="21"/>
        </w:rPr>
        <w:t>本船</w:t>
      </w:r>
      <w:r>
        <w:rPr>
          <w:szCs w:val="21"/>
        </w:rPr>
        <w:t>经检验合格</w:t>
      </w:r>
      <w:r>
        <w:rPr>
          <w:rFonts w:hint="eastAsia"/>
          <w:szCs w:val="21"/>
        </w:rPr>
        <w:t>，</w:t>
      </w:r>
      <w:r>
        <w:rPr>
          <w:szCs w:val="21"/>
        </w:rPr>
        <w:t>满足《</w:t>
      </w:r>
      <w:r>
        <w:rPr>
          <w:rFonts w:hint="eastAsia"/>
          <w:szCs w:val="21"/>
        </w:rPr>
        <w:t>聚乙烯</w:t>
      </w:r>
      <w:r>
        <w:rPr>
          <w:szCs w:val="21"/>
        </w:rPr>
        <w:t>渔船</w:t>
      </w:r>
      <w:r>
        <w:rPr>
          <w:rFonts w:hint="eastAsia"/>
          <w:szCs w:val="21"/>
        </w:rPr>
        <w:t>技术</w:t>
      </w:r>
      <w:r>
        <w:rPr>
          <w:szCs w:val="21"/>
        </w:rPr>
        <w:t>与检验暂行</w:t>
      </w:r>
      <w:r>
        <w:rPr>
          <w:rFonts w:hint="eastAsia"/>
          <w:szCs w:val="21"/>
        </w:rPr>
        <w:t>规则</w:t>
      </w:r>
      <w:r>
        <w:rPr>
          <w:szCs w:val="21"/>
        </w:rPr>
        <w:t>》</w:t>
      </w:r>
      <w:r>
        <w:rPr>
          <w:rFonts w:hint="eastAsia"/>
          <w:szCs w:val="21"/>
        </w:rPr>
        <w:t>规定</w:t>
      </w:r>
      <w:r>
        <w:rPr>
          <w:szCs w:val="21"/>
        </w:rPr>
        <w:t>”</w:t>
      </w:r>
      <w:r>
        <w:rPr>
          <w:rFonts w:hint="eastAsia"/>
          <w:szCs w:val="21"/>
        </w:rPr>
        <w:t>。</w:t>
      </w:r>
    </w:p>
    <w:p>
      <w:pPr>
        <w:adjustRightInd w:val="0"/>
        <w:snapToGrid w:val="0"/>
        <w:ind w:firstLine="420" w:firstLineChars="200"/>
        <w:rPr>
          <w:szCs w:val="21"/>
        </w:rPr>
      </w:pPr>
      <w:r>
        <w:rPr>
          <w:szCs w:val="21"/>
        </w:rPr>
        <w:t>2</w:t>
      </w:r>
      <w:r>
        <w:rPr>
          <w:rFonts w:hint="eastAsia"/>
          <w:szCs w:val="21"/>
        </w:rPr>
        <w:t>.</w:t>
      </w:r>
      <w:r>
        <w:rPr>
          <w:szCs w:val="21"/>
        </w:rPr>
        <w:t>5</w:t>
      </w:r>
      <w:r>
        <w:rPr>
          <w:rFonts w:hint="eastAsia"/>
          <w:szCs w:val="21"/>
        </w:rPr>
        <w:t>.</w:t>
      </w:r>
      <w:r>
        <w:rPr>
          <w:szCs w:val="21"/>
        </w:rPr>
        <w:t>2</w:t>
      </w:r>
      <w:r>
        <w:rPr>
          <w:rFonts w:hint="eastAsia"/>
          <w:szCs w:val="21"/>
        </w:rPr>
        <w:t xml:space="preserve">  申请型式</w:t>
      </w:r>
      <w:r>
        <w:rPr>
          <w:szCs w:val="21"/>
        </w:rPr>
        <w:t>检验</w:t>
      </w:r>
      <w:r>
        <w:rPr>
          <w:rFonts w:hint="eastAsia"/>
          <w:szCs w:val="21"/>
        </w:rPr>
        <w:t>渔船</w:t>
      </w:r>
      <w:r>
        <w:rPr>
          <w:szCs w:val="21"/>
        </w:rPr>
        <w:t>经检验合格，在</w:t>
      </w:r>
      <w:r>
        <w:rPr>
          <w:rFonts w:hint="eastAsia"/>
          <w:szCs w:val="21"/>
        </w:rPr>
        <w:t>安全</w:t>
      </w:r>
      <w:r>
        <w:rPr>
          <w:szCs w:val="21"/>
        </w:rPr>
        <w:t>与环保证书</w:t>
      </w:r>
      <w:r>
        <w:rPr>
          <w:rFonts w:hint="eastAsia"/>
          <w:szCs w:val="21"/>
        </w:rPr>
        <w:t>记事栏中</w:t>
      </w:r>
      <w:r>
        <w:rPr>
          <w:szCs w:val="21"/>
        </w:rPr>
        <w:t>签署“</w:t>
      </w:r>
      <w:r>
        <w:rPr>
          <w:rFonts w:hint="eastAsia"/>
          <w:szCs w:val="21"/>
        </w:rPr>
        <w:t>X</w:t>
      </w:r>
      <w:r>
        <w:rPr>
          <w:szCs w:val="21"/>
        </w:rPr>
        <w:t>X</w:t>
      </w:r>
      <w:r>
        <w:rPr>
          <w:rFonts w:hint="eastAsia"/>
          <w:szCs w:val="21"/>
        </w:rPr>
        <w:t>型XX主尺度船</w:t>
      </w:r>
      <w:r>
        <w:rPr>
          <w:szCs w:val="21"/>
        </w:rPr>
        <w:t>经</w:t>
      </w:r>
      <w:r>
        <w:rPr>
          <w:rFonts w:hint="eastAsia"/>
          <w:szCs w:val="21"/>
        </w:rPr>
        <w:t>型式</w:t>
      </w:r>
      <w:r>
        <w:rPr>
          <w:szCs w:val="21"/>
        </w:rPr>
        <w:t>检验合格</w:t>
      </w:r>
      <w:r>
        <w:rPr>
          <w:rFonts w:hint="eastAsia"/>
          <w:szCs w:val="21"/>
        </w:rPr>
        <w:t>，</w:t>
      </w:r>
      <w:r>
        <w:rPr>
          <w:szCs w:val="21"/>
        </w:rPr>
        <w:t>满足《</w:t>
      </w:r>
      <w:r>
        <w:rPr>
          <w:rFonts w:hint="eastAsia"/>
          <w:szCs w:val="21"/>
        </w:rPr>
        <w:t>聚乙烯</w:t>
      </w:r>
      <w:r>
        <w:rPr>
          <w:szCs w:val="21"/>
        </w:rPr>
        <w:t>渔船</w:t>
      </w:r>
      <w:r>
        <w:rPr>
          <w:rFonts w:hint="eastAsia"/>
          <w:szCs w:val="21"/>
        </w:rPr>
        <w:t>技术</w:t>
      </w:r>
      <w:r>
        <w:rPr>
          <w:szCs w:val="21"/>
        </w:rPr>
        <w:t>与检验暂行</w:t>
      </w:r>
      <w:r>
        <w:rPr>
          <w:rFonts w:hint="eastAsia"/>
          <w:szCs w:val="21"/>
        </w:rPr>
        <w:t>规则</w:t>
      </w:r>
      <w:r>
        <w:rPr>
          <w:szCs w:val="21"/>
        </w:rPr>
        <w:t>》</w:t>
      </w:r>
      <w:r>
        <w:rPr>
          <w:rFonts w:hint="eastAsia"/>
          <w:szCs w:val="21"/>
        </w:rPr>
        <w:t>规定</w:t>
      </w:r>
      <w:r>
        <w:rPr>
          <w:szCs w:val="21"/>
        </w:rPr>
        <w:t>”</w:t>
      </w:r>
      <w:r>
        <w:rPr>
          <w:rFonts w:hint="eastAsia"/>
          <w:szCs w:val="21"/>
        </w:rPr>
        <w:t>。其</w:t>
      </w:r>
      <w:r>
        <w:rPr>
          <w:szCs w:val="21"/>
        </w:rPr>
        <w:t>证书有效期为</w:t>
      </w:r>
      <w:r>
        <w:rPr>
          <w:rFonts w:hint="eastAsia"/>
          <w:szCs w:val="21"/>
        </w:rPr>
        <w:t>5年</w:t>
      </w:r>
      <w:r>
        <w:rPr>
          <w:szCs w:val="21"/>
        </w:rPr>
        <w:t>。</w:t>
      </w:r>
    </w:p>
    <w:p>
      <w:pPr>
        <w:adjustRightInd w:val="0"/>
        <w:snapToGrid w:val="0"/>
        <w:ind w:firstLine="420" w:firstLineChars="200"/>
        <w:rPr>
          <w:szCs w:val="21"/>
        </w:rPr>
      </w:pPr>
      <w:r>
        <w:rPr>
          <w:szCs w:val="21"/>
        </w:rPr>
        <w:t>2</w:t>
      </w:r>
      <w:r>
        <w:rPr>
          <w:rFonts w:hint="eastAsia"/>
          <w:szCs w:val="21"/>
        </w:rPr>
        <w:t>.</w:t>
      </w:r>
      <w:r>
        <w:rPr>
          <w:szCs w:val="21"/>
        </w:rPr>
        <w:t>5</w:t>
      </w:r>
      <w:r>
        <w:rPr>
          <w:rFonts w:hint="eastAsia"/>
          <w:szCs w:val="21"/>
        </w:rPr>
        <w:t>.</w:t>
      </w:r>
      <w:r>
        <w:rPr>
          <w:szCs w:val="21"/>
        </w:rPr>
        <w:t>3</w:t>
      </w:r>
      <w:r>
        <w:rPr>
          <w:rFonts w:hint="eastAsia"/>
          <w:szCs w:val="21"/>
        </w:rPr>
        <w:t xml:space="preserve">  按</w:t>
      </w:r>
      <w:r>
        <w:rPr>
          <w:szCs w:val="21"/>
        </w:rPr>
        <w:t>本暂行规则签发的证书应存放与船上，以供随时检查。</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26" w:name="_Toc70411338"/>
      <w:bookmarkStart w:id="27" w:name="_Toc50386754"/>
      <w:r>
        <w:rPr>
          <w:rFonts w:eastAsia="楷体"/>
          <w:b w:val="0"/>
          <w:bCs w:val="0"/>
          <w:snapToGrid w:val="0"/>
          <w:kern w:val="0"/>
          <w:sz w:val="28"/>
          <w:szCs w:val="20"/>
        </w:rPr>
        <w:t xml:space="preserve">第6节  </w:t>
      </w:r>
      <w:r>
        <w:rPr>
          <w:rFonts w:hint="eastAsia" w:eastAsia="楷体"/>
          <w:b w:val="0"/>
          <w:bCs w:val="0"/>
          <w:snapToGrid w:val="0"/>
          <w:kern w:val="0"/>
          <w:sz w:val="28"/>
          <w:szCs w:val="20"/>
        </w:rPr>
        <w:t>图纸</w:t>
      </w:r>
      <w:bookmarkEnd w:id="26"/>
      <w:bookmarkEnd w:id="27"/>
    </w:p>
    <w:p>
      <w:pPr>
        <w:adjustRightInd w:val="0"/>
        <w:snapToGrid w:val="0"/>
        <w:ind w:firstLine="420" w:firstLineChars="200"/>
        <w:rPr>
          <w:szCs w:val="21"/>
        </w:rPr>
      </w:pPr>
      <w:r>
        <w:rPr>
          <w:szCs w:val="21"/>
        </w:rPr>
        <w:t>2</w:t>
      </w:r>
      <w:r>
        <w:rPr>
          <w:rFonts w:hint="eastAsia"/>
          <w:szCs w:val="21"/>
        </w:rPr>
        <w:t>.</w:t>
      </w:r>
      <w:r>
        <w:rPr>
          <w:szCs w:val="21"/>
        </w:rPr>
        <w:t>6</w:t>
      </w:r>
      <w:r>
        <w:rPr>
          <w:rFonts w:hint="eastAsia"/>
          <w:szCs w:val="21"/>
        </w:rPr>
        <w:t>.1  渔船应至少提交如下图纸及技术文件：</w:t>
      </w:r>
    </w:p>
    <w:p>
      <w:pPr>
        <w:spacing w:line="320" w:lineRule="atLeast"/>
        <w:ind w:firstLine="420" w:firstLineChars="200"/>
        <w:rPr>
          <w:szCs w:val="21"/>
        </w:rPr>
      </w:pPr>
      <w:r>
        <w:rPr>
          <w:rFonts w:hint="eastAsia"/>
          <w:szCs w:val="21"/>
        </w:rPr>
        <w:t>（1）全船说明书（备查）；</w:t>
      </w:r>
    </w:p>
    <w:p>
      <w:pPr>
        <w:spacing w:line="320" w:lineRule="atLeast"/>
        <w:ind w:firstLine="420" w:firstLineChars="200"/>
        <w:rPr>
          <w:szCs w:val="21"/>
        </w:rPr>
      </w:pPr>
      <w:r>
        <w:rPr>
          <w:rFonts w:hint="eastAsia"/>
          <w:szCs w:val="21"/>
        </w:rPr>
        <w:t>（2）总布置图；</w:t>
      </w:r>
    </w:p>
    <w:p>
      <w:pPr>
        <w:spacing w:line="320" w:lineRule="atLeast"/>
        <w:ind w:firstLine="420" w:firstLineChars="200"/>
        <w:rPr>
          <w:szCs w:val="21"/>
        </w:rPr>
      </w:pPr>
      <w:r>
        <w:rPr>
          <w:rFonts w:hint="eastAsia"/>
          <w:szCs w:val="21"/>
        </w:rPr>
        <w:t>（3）型线图（备查）；</w:t>
      </w:r>
    </w:p>
    <w:p>
      <w:pPr>
        <w:spacing w:line="320" w:lineRule="atLeast"/>
        <w:ind w:firstLine="420" w:firstLineChars="200"/>
        <w:rPr>
          <w:szCs w:val="21"/>
        </w:rPr>
      </w:pPr>
      <w:r>
        <w:rPr>
          <w:rFonts w:hint="eastAsia"/>
          <w:szCs w:val="21"/>
        </w:rPr>
        <w:t>（4）干舷</w:t>
      </w:r>
      <w:r>
        <w:rPr>
          <w:szCs w:val="21"/>
        </w:rPr>
        <w:t>计算</w:t>
      </w:r>
      <w:r>
        <w:rPr>
          <w:rFonts w:hint="eastAsia"/>
          <w:szCs w:val="21"/>
        </w:rPr>
        <w:t>及</w:t>
      </w:r>
      <w:r>
        <w:rPr>
          <w:szCs w:val="21"/>
        </w:rPr>
        <w:t>载重线标志；</w:t>
      </w:r>
    </w:p>
    <w:p>
      <w:pPr>
        <w:spacing w:line="320" w:lineRule="atLeast"/>
        <w:ind w:firstLine="420" w:firstLineChars="200"/>
        <w:rPr>
          <w:szCs w:val="21"/>
        </w:rPr>
      </w:pPr>
      <w:r>
        <w:rPr>
          <w:rFonts w:hint="eastAsia"/>
          <w:szCs w:val="21"/>
        </w:rPr>
        <w:t>（</w:t>
      </w:r>
      <w:r>
        <w:rPr>
          <w:szCs w:val="21"/>
        </w:rPr>
        <w:t>5</w:t>
      </w:r>
      <w:r>
        <w:rPr>
          <w:rFonts w:hint="eastAsia"/>
          <w:szCs w:val="21"/>
        </w:rPr>
        <w:t>）稳性计算书；</w:t>
      </w:r>
    </w:p>
    <w:p>
      <w:pPr>
        <w:spacing w:line="320" w:lineRule="atLeast"/>
        <w:ind w:firstLine="420" w:firstLineChars="200"/>
        <w:rPr>
          <w:szCs w:val="21"/>
        </w:rPr>
      </w:pPr>
      <w:r>
        <w:rPr>
          <w:rFonts w:hint="eastAsia"/>
          <w:szCs w:val="21"/>
        </w:rPr>
        <w:t>（</w:t>
      </w:r>
      <w:r>
        <w:rPr>
          <w:szCs w:val="21"/>
        </w:rPr>
        <w:t>6</w:t>
      </w:r>
      <w:r>
        <w:rPr>
          <w:rFonts w:hint="eastAsia"/>
          <w:szCs w:val="21"/>
        </w:rPr>
        <w:t>）吨位计算；</w:t>
      </w:r>
    </w:p>
    <w:p>
      <w:pPr>
        <w:spacing w:line="320" w:lineRule="atLeast"/>
        <w:ind w:firstLine="420" w:firstLineChars="200"/>
        <w:rPr>
          <w:szCs w:val="21"/>
        </w:rPr>
      </w:pPr>
      <w:r>
        <w:rPr>
          <w:rFonts w:hint="eastAsia"/>
          <w:szCs w:val="21"/>
        </w:rPr>
        <w:t>（</w:t>
      </w:r>
      <w:r>
        <w:rPr>
          <w:szCs w:val="21"/>
        </w:rPr>
        <w:t>7</w:t>
      </w:r>
      <w:r>
        <w:rPr>
          <w:rFonts w:hint="eastAsia"/>
          <w:szCs w:val="21"/>
        </w:rPr>
        <w:t>）基本结构图、横剖面图和结构计算书。</w:t>
      </w:r>
    </w:p>
    <w:p>
      <w:pPr>
        <w:spacing w:line="320" w:lineRule="atLeast"/>
        <w:ind w:firstLine="420" w:firstLineChars="200"/>
        <w:rPr>
          <w:szCs w:val="21"/>
        </w:rPr>
      </w:pPr>
      <w:r>
        <w:rPr>
          <w:rFonts w:hint="eastAsia"/>
          <w:szCs w:val="21"/>
        </w:rPr>
        <w:t>2.</w:t>
      </w:r>
      <w:r>
        <w:rPr>
          <w:szCs w:val="21"/>
        </w:rPr>
        <w:t>6</w:t>
      </w:r>
      <w:r>
        <w:rPr>
          <w:rFonts w:hint="eastAsia"/>
          <w:szCs w:val="21"/>
        </w:rPr>
        <w:t>.</w:t>
      </w:r>
      <w:r>
        <w:rPr>
          <w:szCs w:val="21"/>
        </w:rPr>
        <w:t>2</w:t>
      </w:r>
      <w:r>
        <w:rPr>
          <w:rFonts w:hint="eastAsia"/>
          <w:szCs w:val="21"/>
        </w:rPr>
        <w:t xml:space="preserve">  本暂行规则未</w:t>
      </w:r>
      <w:r>
        <w:rPr>
          <w:szCs w:val="21"/>
        </w:rPr>
        <w:t>规定部分依据相应</w:t>
      </w:r>
      <w:r>
        <w:rPr>
          <w:rFonts w:hint="eastAsia"/>
          <w:szCs w:val="21"/>
        </w:rPr>
        <w:t>要求</w:t>
      </w:r>
      <w:r>
        <w:rPr>
          <w:szCs w:val="21"/>
        </w:rPr>
        <w:t>提交相关图纸。</w:t>
      </w:r>
    </w:p>
    <w:p>
      <w:pPr>
        <w:spacing w:line="320" w:lineRule="atLeast"/>
        <w:ind w:firstLine="420" w:firstLineChars="200"/>
        <w:rPr>
          <w:szCs w:val="21"/>
        </w:rPr>
      </w:pPr>
      <w:r>
        <w:rPr>
          <w:rFonts w:hint="eastAsia"/>
          <w:szCs w:val="21"/>
        </w:rPr>
        <w:t>2.</w:t>
      </w:r>
      <w:r>
        <w:rPr>
          <w:szCs w:val="21"/>
        </w:rPr>
        <w:t>6</w:t>
      </w:r>
      <w:r>
        <w:rPr>
          <w:rFonts w:hint="eastAsia"/>
          <w:szCs w:val="21"/>
        </w:rPr>
        <w:t>.</w:t>
      </w:r>
      <w:r>
        <w:rPr>
          <w:szCs w:val="21"/>
        </w:rPr>
        <w:t>3</w:t>
      </w:r>
      <w:r>
        <w:rPr>
          <w:rFonts w:hint="eastAsia"/>
          <w:szCs w:val="21"/>
        </w:rPr>
        <w:t xml:space="preserve">  船舶</w:t>
      </w:r>
      <w:r>
        <w:rPr>
          <w:szCs w:val="21"/>
        </w:rPr>
        <w:t>检验机构</w:t>
      </w:r>
      <w:r>
        <w:rPr>
          <w:rFonts w:hint="eastAsia"/>
          <w:szCs w:val="21"/>
        </w:rPr>
        <w:t>认为有必要，可根据</w:t>
      </w:r>
      <w:r>
        <w:rPr>
          <w:szCs w:val="21"/>
        </w:rPr>
        <w:t>实船情况要求提交</w:t>
      </w:r>
      <w:r>
        <w:rPr>
          <w:rFonts w:hint="eastAsia"/>
          <w:szCs w:val="21"/>
        </w:rPr>
        <w:t>其他图纸及</w:t>
      </w:r>
      <w:r>
        <w:rPr>
          <w:szCs w:val="21"/>
        </w:rPr>
        <w:t>技术文件</w:t>
      </w:r>
      <w:r>
        <w:rPr>
          <w:rFonts w:hint="eastAsia"/>
          <w:szCs w:val="21"/>
        </w:rPr>
        <w:t>。</w:t>
      </w:r>
    </w:p>
    <w:p>
      <w:pPr>
        <w:adjustRightInd w:val="0"/>
        <w:snapToGrid w:val="0"/>
        <w:jc w:val="left"/>
        <w:rPr>
          <w:szCs w:val="21"/>
        </w:rPr>
      </w:pPr>
      <w:r>
        <w:rPr>
          <w:szCs w:val="21"/>
        </w:rPr>
        <w:br w:type="page"/>
      </w:r>
    </w:p>
    <w:p>
      <w:pPr>
        <w:adjustRightInd w:val="0"/>
        <w:snapToGrid w:val="0"/>
        <w:ind w:firstLine="420" w:firstLineChars="200"/>
        <w:jc w:val="left"/>
        <w:rPr>
          <w:szCs w:val="21"/>
        </w:rPr>
      </w:pPr>
    </w:p>
    <w:p>
      <w:pPr>
        <w:pStyle w:val="2"/>
        <w:autoSpaceDE w:val="0"/>
        <w:autoSpaceDN w:val="0"/>
        <w:snapToGrid/>
        <w:spacing w:before="240" w:after="240" w:line="240" w:lineRule="auto"/>
        <w:textAlignment w:val="baseline"/>
        <w:rPr>
          <w:bCs w:val="0"/>
          <w:szCs w:val="20"/>
        </w:rPr>
      </w:pPr>
      <w:bookmarkStart w:id="28" w:name="_Toc50386755"/>
      <w:bookmarkStart w:id="29" w:name="_Toc70411339"/>
      <w:r>
        <w:rPr>
          <w:bCs w:val="0"/>
          <w:szCs w:val="20"/>
        </w:rPr>
        <w:t>第3</w:t>
      </w:r>
      <w:r>
        <w:rPr>
          <w:rFonts w:hint="eastAsia"/>
          <w:bCs w:val="0"/>
          <w:szCs w:val="20"/>
        </w:rPr>
        <w:t>章</w:t>
      </w:r>
      <w:r>
        <w:rPr>
          <w:bCs w:val="0"/>
          <w:szCs w:val="20"/>
        </w:rPr>
        <w:t xml:space="preserve">  </w:t>
      </w:r>
      <w:r>
        <w:rPr>
          <w:rFonts w:hint="eastAsia"/>
          <w:bCs w:val="0"/>
          <w:szCs w:val="20"/>
        </w:rPr>
        <w:t>材料与</w:t>
      </w:r>
      <w:r>
        <w:rPr>
          <w:bCs w:val="0"/>
          <w:szCs w:val="20"/>
        </w:rPr>
        <w:t>建造工艺</w:t>
      </w:r>
      <w:bookmarkEnd w:id="28"/>
      <w:bookmarkEnd w:id="29"/>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30" w:name="_Toc70411340"/>
      <w:bookmarkStart w:id="31" w:name="_Toc50386756"/>
      <w:r>
        <w:rPr>
          <w:rFonts w:eastAsia="楷体"/>
          <w:b w:val="0"/>
          <w:bCs w:val="0"/>
          <w:snapToGrid w:val="0"/>
          <w:kern w:val="0"/>
          <w:sz w:val="28"/>
          <w:szCs w:val="20"/>
        </w:rPr>
        <w:t xml:space="preserve">第1节  </w:t>
      </w:r>
      <w:r>
        <w:rPr>
          <w:rFonts w:hint="eastAsia" w:eastAsia="楷体"/>
          <w:b w:val="0"/>
          <w:bCs w:val="0"/>
          <w:snapToGrid w:val="0"/>
          <w:kern w:val="0"/>
          <w:sz w:val="28"/>
          <w:szCs w:val="20"/>
        </w:rPr>
        <w:t>一般规定</w:t>
      </w:r>
      <w:bookmarkEnd w:id="30"/>
      <w:bookmarkEnd w:id="31"/>
    </w:p>
    <w:p>
      <w:pPr>
        <w:adjustRightInd w:val="0"/>
        <w:snapToGrid w:val="0"/>
        <w:ind w:firstLine="420" w:firstLineChars="200"/>
      </w:pPr>
      <w:r>
        <w:rPr>
          <w:rFonts w:hint="eastAsia"/>
        </w:rPr>
        <w:t>3.1.1  原材料</w:t>
      </w:r>
      <w:r>
        <w:t>应为</w:t>
      </w:r>
      <w:r>
        <w:rPr>
          <w:rFonts w:hint="eastAsia"/>
        </w:rPr>
        <w:t>有效</w:t>
      </w:r>
      <w:r>
        <w:t>期内的合格产品。</w:t>
      </w:r>
    </w:p>
    <w:p>
      <w:pPr>
        <w:adjustRightInd w:val="0"/>
        <w:snapToGrid w:val="0"/>
        <w:ind w:firstLine="420" w:firstLineChars="200"/>
      </w:pPr>
      <w:r>
        <w:rPr>
          <w:rFonts w:hint="eastAsia"/>
        </w:rPr>
        <w:t>3.1.</w:t>
      </w:r>
      <w:r>
        <w:t>2</w:t>
      </w:r>
      <w:r>
        <w:rPr>
          <w:rFonts w:hint="eastAsia"/>
        </w:rPr>
        <w:t xml:space="preserve"> </w:t>
      </w:r>
      <w:r>
        <w:t xml:space="preserve"> </w:t>
      </w:r>
      <w:r>
        <w:rPr>
          <w:rFonts w:hint="eastAsia"/>
        </w:rPr>
        <w:t>用于船体结构的聚乙烯材料不允许添加再生料。</w:t>
      </w:r>
    </w:p>
    <w:p>
      <w:pPr>
        <w:adjustRightInd w:val="0"/>
        <w:snapToGrid w:val="0"/>
        <w:ind w:firstLine="420" w:firstLineChars="200"/>
      </w:pPr>
      <w:r>
        <w:rPr>
          <w:rFonts w:hint="eastAsia"/>
        </w:rPr>
        <w:t>3.1.</w:t>
      </w:r>
      <w:r>
        <w:t>3</w:t>
      </w:r>
      <w:r>
        <w:rPr>
          <w:rFonts w:hint="eastAsia"/>
        </w:rPr>
        <w:t xml:space="preserve"> </w:t>
      </w:r>
      <w:r>
        <w:t xml:space="preserve"> </w:t>
      </w:r>
      <w:r>
        <w:rPr>
          <w:rFonts w:hint="eastAsia"/>
        </w:rPr>
        <w:t>聚乙烯板材与其他型材的连接可采用螺栓连接，</w:t>
      </w:r>
      <w:r>
        <w:t>也可</w:t>
      </w:r>
      <w:r>
        <w:rPr>
          <w:rFonts w:hint="eastAsia"/>
        </w:rPr>
        <w:t>根据结构强度的特殊需要亦可采用其他形式的连接方法。</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32" w:name="_Toc70411341"/>
      <w:bookmarkStart w:id="33" w:name="_Toc50386757"/>
      <w:r>
        <w:rPr>
          <w:rFonts w:eastAsia="楷体"/>
          <w:b w:val="0"/>
          <w:bCs w:val="0"/>
          <w:snapToGrid w:val="0"/>
          <w:kern w:val="0"/>
          <w:sz w:val="28"/>
          <w:szCs w:val="20"/>
        </w:rPr>
        <w:t xml:space="preserve">第2节  </w:t>
      </w:r>
      <w:r>
        <w:rPr>
          <w:rFonts w:hint="eastAsia" w:eastAsia="楷体"/>
          <w:b w:val="0"/>
          <w:bCs w:val="0"/>
          <w:snapToGrid w:val="0"/>
          <w:kern w:val="0"/>
          <w:sz w:val="28"/>
          <w:szCs w:val="20"/>
        </w:rPr>
        <w:t>材料</w:t>
      </w:r>
      <w:bookmarkEnd w:id="32"/>
      <w:bookmarkEnd w:id="33"/>
    </w:p>
    <w:p>
      <w:pPr>
        <w:adjustRightInd w:val="0"/>
        <w:snapToGrid w:val="0"/>
        <w:ind w:firstLine="420" w:firstLineChars="200"/>
        <w:jc w:val="left"/>
      </w:pPr>
      <w:r>
        <w:rPr>
          <w:rFonts w:hint="eastAsia"/>
        </w:rPr>
        <w:t>3.</w:t>
      </w:r>
      <w:r>
        <w:t>2</w:t>
      </w:r>
      <w:r>
        <w:rPr>
          <w:rFonts w:hint="eastAsia"/>
        </w:rPr>
        <w:t>.1  聚乙烯</w:t>
      </w:r>
      <w:r>
        <w:t>材料性能应满足</w:t>
      </w:r>
      <w:r>
        <w:rPr>
          <w:rFonts w:hint="eastAsia"/>
        </w:rPr>
        <w:t>表3.2.1的</w:t>
      </w:r>
      <w:r>
        <w:t>要求</w:t>
      </w:r>
      <w:r>
        <w:rPr>
          <w:rFonts w:hint="eastAsia"/>
        </w:rPr>
        <w:t>。</w:t>
      </w:r>
    </w:p>
    <w:p>
      <w:pPr>
        <w:adjustRightInd w:val="0"/>
        <w:snapToGrid w:val="0"/>
        <w:ind w:firstLine="420" w:firstLineChars="200"/>
        <w:jc w:val="left"/>
      </w:pPr>
    </w:p>
    <w:p>
      <w:pPr>
        <w:wordWrap w:val="0"/>
        <w:adjustRightInd w:val="0"/>
        <w:snapToGrid w:val="0"/>
        <w:ind w:firstLine="420" w:firstLineChars="200"/>
        <w:jc w:val="right"/>
        <w:rPr>
          <w:rFonts w:eastAsia="黑体"/>
          <w:snapToGrid w:val="0"/>
          <w:kern w:val="0"/>
          <w:szCs w:val="21"/>
        </w:rPr>
      </w:pPr>
      <w:r>
        <w:rPr>
          <w:rFonts w:hint="eastAsia" w:eastAsia="黑体"/>
          <w:snapToGrid w:val="0"/>
          <w:kern w:val="0"/>
          <w:szCs w:val="21"/>
        </w:rPr>
        <w:t>聚乙烯</w:t>
      </w:r>
      <w:r>
        <w:rPr>
          <w:rFonts w:eastAsia="黑体"/>
          <w:snapToGrid w:val="0"/>
          <w:kern w:val="0"/>
          <w:szCs w:val="21"/>
        </w:rPr>
        <w:t>材料性能</w:t>
      </w:r>
      <w:r>
        <w:rPr>
          <w:rFonts w:hint="eastAsia" w:eastAsia="黑体"/>
          <w:snapToGrid w:val="0"/>
          <w:kern w:val="0"/>
          <w:szCs w:val="21"/>
        </w:rPr>
        <w:t xml:space="preserve">要求  </w:t>
      </w:r>
      <w:r>
        <w:rPr>
          <w:rFonts w:eastAsia="黑体"/>
          <w:snapToGrid w:val="0"/>
          <w:kern w:val="0"/>
          <w:szCs w:val="21"/>
        </w:rPr>
        <w:t xml:space="preserve">                   </w:t>
      </w:r>
      <w:r>
        <w:rPr>
          <w:rFonts w:hint="eastAsia" w:eastAsia="黑体"/>
          <w:snapToGrid w:val="0"/>
          <w:kern w:val="0"/>
          <w:szCs w:val="21"/>
        </w:rPr>
        <w:t xml:space="preserve"> </w:t>
      </w:r>
      <w:r>
        <w:rPr>
          <w:rFonts w:eastAsia="黑体"/>
          <w:snapToGrid w:val="0"/>
          <w:kern w:val="0"/>
          <w:szCs w:val="21"/>
        </w:rPr>
        <w:t xml:space="preserve"> </w:t>
      </w:r>
      <w:r>
        <w:rPr>
          <w:rFonts w:hint="eastAsia" w:eastAsia="黑体"/>
          <w:snapToGrid w:val="0"/>
          <w:kern w:val="0"/>
          <w:szCs w:val="21"/>
        </w:rPr>
        <w:t>表3.2.1</w:t>
      </w:r>
    </w:p>
    <w:tbl>
      <w:tblPr>
        <w:tblStyle w:val="15"/>
        <w:tblW w:w="8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417"/>
        <w:gridCol w:w="1418"/>
        <w:gridCol w:w="1417"/>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555" w:type="dxa"/>
            <w:vAlign w:val="center"/>
          </w:tcPr>
          <w:p>
            <w:pPr>
              <w:jc w:val="center"/>
              <w:rPr>
                <w:sz w:val="18"/>
                <w:szCs w:val="18"/>
              </w:rPr>
            </w:pPr>
            <w:r>
              <w:rPr>
                <w:rFonts w:hint="eastAsia"/>
                <w:sz w:val="18"/>
                <w:szCs w:val="18"/>
              </w:rPr>
              <w:t>项目</w:t>
            </w:r>
          </w:p>
        </w:tc>
        <w:tc>
          <w:tcPr>
            <w:tcW w:w="1417" w:type="dxa"/>
            <w:vAlign w:val="center"/>
          </w:tcPr>
          <w:p>
            <w:pPr>
              <w:jc w:val="center"/>
              <w:rPr>
                <w:rFonts w:hAnsi="宋体"/>
                <w:sz w:val="18"/>
                <w:szCs w:val="18"/>
              </w:rPr>
            </w:pPr>
            <w:r>
              <w:rPr>
                <w:rFonts w:hAnsi="宋体"/>
                <w:sz w:val="18"/>
                <w:szCs w:val="18"/>
              </w:rPr>
              <w:t>低密度聚乙烯</w:t>
            </w:r>
          </w:p>
        </w:tc>
        <w:tc>
          <w:tcPr>
            <w:tcW w:w="1418" w:type="dxa"/>
            <w:vAlign w:val="center"/>
          </w:tcPr>
          <w:p>
            <w:pPr>
              <w:jc w:val="center"/>
              <w:rPr>
                <w:rFonts w:hAnsi="宋体"/>
                <w:sz w:val="18"/>
                <w:szCs w:val="18"/>
              </w:rPr>
            </w:pPr>
            <w:r>
              <w:rPr>
                <w:rFonts w:hint="eastAsia" w:hAnsi="宋体"/>
                <w:sz w:val="18"/>
                <w:szCs w:val="18"/>
              </w:rPr>
              <w:t>线性低密度</w:t>
            </w:r>
          </w:p>
          <w:p>
            <w:pPr>
              <w:jc w:val="center"/>
              <w:rPr>
                <w:rFonts w:hAnsi="宋体"/>
                <w:sz w:val="18"/>
                <w:szCs w:val="18"/>
              </w:rPr>
            </w:pPr>
            <w:r>
              <w:rPr>
                <w:rFonts w:hAnsi="宋体"/>
                <w:sz w:val="18"/>
                <w:szCs w:val="18"/>
              </w:rPr>
              <w:t>聚乙烯</w:t>
            </w:r>
          </w:p>
        </w:tc>
        <w:tc>
          <w:tcPr>
            <w:tcW w:w="1417" w:type="dxa"/>
            <w:vAlign w:val="center"/>
          </w:tcPr>
          <w:p>
            <w:pPr>
              <w:jc w:val="center"/>
              <w:rPr>
                <w:rFonts w:hAnsi="宋体"/>
                <w:sz w:val="18"/>
                <w:szCs w:val="18"/>
              </w:rPr>
            </w:pPr>
            <w:r>
              <w:rPr>
                <w:rFonts w:hint="eastAsia" w:hAnsi="宋体"/>
                <w:sz w:val="18"/>
                <w:szCs w:val="18"/>
              </w:rPr>
              <w:t>高密度</w:t>
            </w:r>
            <w:r>
              <w:rPr>
                <w:rFonts w:hAnsi="宋体"/>
                <w:sz w:val="18"/>
                <w:szCs w:val="18"/>
              </w:rPr>
              <w:t>聚乙烯</w:t>
            </w:r>
          </w:p>
        </w:tc>
        <w:tc>
          <w:tcPr>
            <w:tcW w:w="2699" w:type="dxa"/>
            <w:vAlign w:val="center"/>
          </w:tcPr>
          <w:p>
            <w:pPr>
              <w:jc w:val="center"/>
              <w:rPr>
                <w:rFonts w:hAnsi="宋体"/>
                <w:sz w:val="18"/>
                <w:szCs w:val="18"/>
              </w:rPr>
            </w:pPr>
            <w:r>
              <w:rPr>
                <w:rFonts w:hint="eastAsia" w:hAnsi="宋体"/>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555" w:type="dxa"/>
            <w:vAlign w:val="center"/>
          </w:tcPr>
          <w:p>
            <w:pPr>
              <w:jc w:val="center"/>
              <w:rPr>
                <w:sz w:val="18"/>
                <w:szCs w:val="18"/>
              </w:rPr>
            </w:pPr>
            <w:r>
              <w:rPr>
                <w:rFonts w:hint="eastAsia"/>
                <w:sz w:val="18"/>
                <w:szCs w:val="18"/>
              </w:rPr>
              <w:t>密度</w:t>
            </w:r>
          </w:p>
          <w:p>
            <w:pPr>
              <w:jc w:val="center"/>
              <w:rPr>
                <w:sz w:val="18"/>
                <w:szCs w:val="18"/>
              </w:rPr>
            </w:pPr>
            <w:r>
              <w:rPr>
                <w:sz w:val="18"/>
                <w:szCs w:val="18"/>
              </w:rPr>
              <w:t>g/cm</w:t>
            </w:r>
            <w:r>
              <w:rPr>
                <w:sz w:val="18"/>
                <w:szCs w:val="18"/>
                <w:vertAlign w:val="superscript"/>
              </w:rPr>
              <w:t>3</w:t>
            </w:r>
          </w:p>
        </w:tc>
        <w:tc>
          <w:tcPr>
            <w:tcW w:w="1417" w:type="dxa"/>
            <w:vAlign w:val="center"/>
          </w:tcPr>
          <w:p>
            <w:pPr>
              <w:jc w:val="center"/>
              <w:rPr>
                <w:rFonts w:hAnsi="宋体"/>
                <w:sz w:val="18"/>
                <w:szCs w:val="18"/>
              </w:rPr>
            </w:pPr>
            <w:r>
              <w:rPr>
                <w:rFonts w:hAnsi="宋体"/>
                <w:sz w:val="18"/>
                <w:szCs w:val="18"/>
              </w:rPr>
              <w:t>&lt;0.930</w:t>
            </w:r>
          </w:p>
        </w:tc>
        <w:tc>
          <w:tcPr>
            <w:tcW w:w="1418" w:type="dxa"/>
            <w:vAlign w:val="center"/>
          </w:tcPr>
          <w:p>
            <w:pPr>
              <w:jc w:val="center"/>
              <w:rPr>
                <w:rFonts w:hAnsi="宋体"/>
                <w:sz w:val="18"/>
                <w:szCs w:val="18"/>
              </w:rPr>
            </w:pPr>
            <w:r>
              <w:rPr>
                <w:rFonts w:hint="eastAsia" w:hAnsi="宋体"/>
                <w:sz w:val="18"/>
                <w:szCs w:val="18"/>
              </w:rPr>
              <w:t>0.930~0.945</w:t>
            </w:r>
          </w:p>
        </w:tc>
        <w:tc>
          <w:tcPr>
            <w:tcW w:w="1417" w:type="dxa"/>
            <w:vAlign w:val="center"/>
          </w:tcPr>
          <w:p>
            <w:pPr>
              <w:jc w:val="center"/>
              <w:rPr>
                <w:rFonts w:hAnsi="宋体"/>
                <w:sz w:val="18"/>
                <w:szCs w:val="18"/>
              </w:rPr>
            </w:pPr>
            <w:r>
              <w:rPr>
                <w:rFonts w:hint="eastAsia" w:hAnsi="宋体"/>
                <w:sz w:val="18"/>
                <w:szCs w:val="18"/>
              </w:rPr>
              <w:t>0.946~0.972</w:t>
            </w:r>
          </w:p>
        </w:tc>
        <w:tc>
          <w:tcPr>
            <w:tcW w:w="2699" w:type="dxa"/>
            <w:vAlign w:val="center"/>
          </w:tcPr>
          <w:p>
            <w:pPr>
              <w:pStyle w:val="33"/>
              <w:jc w:val="center"/>
              <w:rPr>
                <w:color w:val="auto"/>
                <w:sz w:val="18"/>
                <w:szCs w:val="18"/>
              </w:rPr>
            </w:pPr>
            <w:r>
              <w:rPr>
                <w:rFonts w:hint="eastAsia"/>
                <w:color w:val="auto"/>
                <w:sz w:val="18"/>
                <w:szCs w:val="18"/>
              </w:rPr>
              <w:t>塑料密度和相对密度试验方法</w:t>
            </w:r>
          </w:p>
          <w:p>
            <w:pPr>
              <w:pStyle w:val="33"/>
              <w:jc w:val="center"/>
              <w:rPr>
                <w:color w:val="auto"/>
                <w:sz w:val="18"/>
                <w:szCs w:val="18"/>
              </w:rPr>
            </w:pPr>
            <w:r>
              <w:rPr>
                <w:color w:val="auto"/>
                <w:sz w:val="18"/>
                <w:szCs w:val="18"/>
              </w:rPr>
              <w:t>GB/T 1033-1986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555" w:type="dxa"/>
            <w:vAlign w:val="center"/>
          </w:tcPr>
          <w:p>
            <w:pPr>
              <w:pStyle w:val="33"/>
              <w:jc w:val="center"/>
              <w:rPr>
                <w:color w:val="auto"/>
                <w:sz w:val="18"/>
                <w:szCs w:val="18"/>
              </w:rPr>
            </w:pPr>
            <w:r>
              <w:rPr>
                <w:rFonts w:hint="eastAsia"/>
                <w:color w:val="auto"/>
                <w:sz w:val="18"/>
                <w:szCs w:val="18"/>
              </w:rPr>
              <w:t>熔融指数</w:t>
            </w:r>
          </w:p>
          <w:p>
            <w:pPr>
              <w:pStyle w:val="33"/>
              <w:jc w:val="center"/>
              <w:rPr>
                <w:color w:val="auto"/>
                <w:sz w:val="18"/>
                <w:szCs w:val="18"/>
              </w:rPr>
            </w:pPr>
            <w:r>
              <w:rPr>
                <w:color w:val="auto"/>
                <w:sz w:val="18"/>
                <w:szCs w:val="18"/>
              </w:rPr>
              <w:t>g/10min</w:t>
            </w:r>
          </w:p>
        </w:tc>
        <w:tc>
          <w:tcPr>
            <w:tcW w:w="1417" w:type="dxa"/>
            <w:vAlign w:val="center"/>
          </w:tcPr>
          <w:p>
            <w:pPr>
              <w:jc w:val="center"/>
              <w:rPr>
                <w:rFonts w:hAnsi="宋体"/>
                <w:sz w:val="18"/>
                <w:szCs w:val="18"/>
              </w:rPr>
            </w:pPr>
            <w:r>
              <w:rPr>
                <w:rFonts w:hint="eastAsia" w:hAnsi="宋体"/>
                <w:sz w:val="18"/>
                <w:szCs w:val="18"/>
              </w:rPr>
              <w:t>2.5</w:t>
            </w:r>
            <w:r>
              <w:rPr>
                <w:rFonts w:hAnsi="宋体"/>
                <w:sz w:val="18"/>
                <w:szCs w:val="18"/>
              </w:rPr>
              <w:t>~5</w:t>
            </w:r>
          </w:p>
        </w:tc>
        <w:tc>
          <w:tcPr>
            <w:tcW w:w="1418" w:type="dxa"/>
            <w:vAlign w:val="center"/>
          </w:tcPr>
          <w:p>
            <w:pPr>
              <w:jc w:val="center"/>
              <w:rPr>
                <w:rFonts w:hAnsi="宋体"/>
                <w:sz w:val="18"/>
                <w:szCs w:val="18"/>
              </w:rPr>
            </w:pPr>
            <w:r>
              <w:rPr>
                <w:rFonts w:hint="eastAsia" w:hAnsi="宋体"/>
                <w:sz w:val="18"/>
                <w:szCs w:val="18"/>
              </w:rPr>
              <w:t>2.5</w:t>
            </w:r>
            <w:r>
              <w:rPr>
                <w:rFonts w:hAnsi="宋体"/>
                <w:sz w:val="18"/>
                <w:szCs w:val="18"/>
              </w:rPr>
              <w:t>~5</w:t>
            </w:r>
          </w:p>
        </w:tc>
        <w:tc>
          <w:tcPr>
            <w:tcW w:w="1417" w:type="dxa"/>
            <w:vAlign w:val="center"/>
          </w:tcPr>
          <w:p>
            <w:pPr>
              <w:pStyle w:val="33"/>
              <w:jc w:val="center"/>
              <w:rPr>
                <w:color w:val="auto"/>
                <w:sz w:val="18"/>
                <w:szCs w:val="18"/>
              </w:rPr>
            </w:pPr>
            <w:r>
              <w:rPr>
                <w:color w:val="auto"/>
                <w:sz w:val="18"/>
                <w:szCs w:val="18"/>
              </w:rPr>
              <w:t>0.2~1.4</w:t>
            </w:r>
          </w:p>
          <w:p>
            <w:pPr>
              <w:jc w:val="center"/>
              <w:rPr>
                <w:rFonts w:hAnsi="宋体"/>
                <w:sz w:val="18"/>
                <w:szCs w:val="18"/>
              </w:rPr>
            </w:pPr>
            <w:r>
              <w:rPr>
                <w:rFonts w:hint="eastAsia" w:hAnsi="宋体"/>
                <w:sz w:val="18"/>
                <w:szCs w:val="18"/>
              </w:rPr>
              <w:t>(190℃/2.16</w:t>
            </w:r>
            <w:r>
              <w:rPr>
                <w:rFonts w:hAnsi="宋体"/>
                <w:sz w:val="18"/>
                <w:szCs w:val="18"/>
              </w:rPr>
              <w:t>kg</w:t>
            </w:r>
            <w:r>
              <w:rPr>
                <w:rFonts w:hint="eastAsia" w:hAnsi="宋体"/>
                <w:sz w:val="18"/>
                <w:szCs w:val="18"/>
              </w:rPr>
              <w:t>)</w:t>
            </w:r>
          </w:p>
        </w:tc>
        <w:tc>
          <w:tcPr>
            <w:tcW w:w="2699" w:type="dxa"/>
            <w:vAlign w:val="center"/>
          </w:tcPr>
          <w:p>
            <w:pPr>
              <w:pStyle w:val="33"/>
              <w:jc w:val="center"/>
              <w:rPr>
                <w:color w:val="auto"/>
                <w:sz w:val="18"/>
                <w:szCs w:val="18"/>
              </w:rPr>
            </w:pPr>
            <w:r>
              <w:rPr>
                <w:rFonts w:hint="eastAsia"/>
                <w:color w:val="auto"/>
                <w:sz w:val="18"/>
                <w:szCs w:val="18"/>
              </w:rPr>
              <w:t>热塑性塑料熔体质量流动速率和熔体体积流动速率的测定</w:t>
            </w:r>
            <w:r>
              <w:rPr>
                <w:color w:val="auto"/>
                <w:sz w:val="18"/>
                <w:szCs w:val="18"/>
              </w:rPr>
              <w:t>GB/T 3682-2000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555" w:type="dxa"/>
            <w:vAlign w:val="center"/>
          </w:tcPr>
          <w:p>
            <w:pPr>
              <w:jc w:val="center"/>
              <w:rPr>
                <w:rFonts w:hAnsi="宋体"/>
                <w:sz w:val="18"/>
                <w:szCs w:val="18"/>
              </w:rPr>
            </w:pPr>
            <w:r>
              <w:rPr>
                <w:rFonts w:hAnsi="宋体"/>
                <w:sz w:val="18"/>
                <w:szCs w:val="18"/>
              </w:rPr>
              <w:t>邵氏硬度</w:t>
            </w:r>
          </w:p>
          <w:p>
            <w:pPr>
              <w:jc w:val="center"/>
              <w:rPr>
                <w:rFonts w:hAnsi="宋体"/>
                <w:sz w:val="18"/>
                <w:szCs w:val="18"/>
              </w:rPr>
            </w:pPr>
            <w:r>
              <w:rPr>
                <w:sz w:val="18"/>
                <w:szCs w:val="18"/>
              </w:rPr>
              <w:t>D</w:t>
            </w:r>
          </w:p>
        </w:tc>
        <w:tc>
          <w:tcPr>
            <w:tcW w:w="1417" w:type="dxa"/>
            <w:vAlign w:val="center"/>
          </w:tcPr>
          <w:p>
            <w:pPr>
              <w:jc w:val="center"/>
              <w:rPr>
                <w:rFonts w:asciiTheme="majorEastAsia" w:hAnsiTheme="majorEastAsia" w:eastAsiaTheme="majorEastAsia"/>
                <w:sz w:val="18"/>
                <w:szCs w:val="18"/>
              </w:rPr>
            </w:pPr>
            <w:r>
              <w:rPr>
                <w:rFonts w:asciiTheme="majorEastAsia" w:hAnsiTheme="majorEastAsia" w:eastAsiaTheme="majorEastAsia"/>
                <w:sz w:val="18"/>
                <w:szCs w:val="18"/>
              </w:rPr>
              <w:t>设定值</w:t>
            </w:r>
            <w:r>
              <w:rPr>
                <w:rFonts w:hint="eastAsia" w:asciiTheme="majorEastAsia" w:hAnsiTheme="majorEastAsia" w:eastAsiaTheme="majorEastAsia"/>
                <w:sz w:val="18"/>
                <w:szCs w:val="18"/>
              </w:rPr>
              <w:t>±</w:t>
            </w:r>
            <w:r>
              <w:rPr>
                <w:rFonts w:asciiTheme="majorEastAsia" w:hAnsiTheme="majorEastAsia" w:eastAsiaTheme="majorEastAsia"/>
                <w:sz w:val="18"/>
                <w:szCs w:val="18"/>
              </w:rPr>
              <w:t>3.0</w:t>
            </w:r>
          </w:p>
        </w:tc>
        <w:tc>
          <w:tcPr>
            <w:tcW w:w="1418" w:type="dxa"/>
            <w:vAlign w:val="center"/>
          </w:tcPr>
          <w:p>
            <w:pPr>
              <w:jc w:val="center"/>
              <w:rPr>
                <w:rFonts w:asciiTheme="majorEastAsia" w:hAnsiTheme="majorEastAsia" w:eastAsiaTheme="majorEastAsia"/>
                <w:sz w:val="18"/>
                <w:szCs w:val="18"/>
              </w:rPr>
            </w:pPr>
            <w:r>
              <w:rPr>
                <w:rFonts w:asciiTheme="majorEastAsia" w:hAnsiTheme="majorEastAsia" w:eastAsiaTheme="majorEastAsia"/>
                <w:sz w:val="18"/>
                <w:szCs w:val="18"/>
              </w:rPr>
              <w:t>设定值</w:t>
            </w:r>
            <w:r>
              <w:rPr>
                <w:rFonts w:hint="eastAsia" w:asciiTheme="majorEastAsia" w:hAnsiTheme="majorEastAsia" w:eastAsiaTheme="majorEastAsia"/>
                <w:sz w:val="18"/>
                <w:szCs w:val="18"/>
              </w:rPr>
              <w:t>±</w:t>
            </w:r>
            <w:r>
              <w:rPr>
                <w:rFonts w:asciiTheme="majorEastAsia" w:hAnsiTheme="majorEastAsia" w:eastAsiaTheme="majorEastAsia"/>
                <w:sz w:val="18"/>
                <w:szCs w:val="18"/>
              </w:rPr>
              <w:t>3.0</w:t>
            </w:r>
          </w:p>
        </w:tc>
        <w:tc>
          <w:tcPr>
            <w:tcW w:w="1417" w:type="dxa"/>
            <w:vAlign w:val="center"/>
          </w:tcPr>
          <w:p>
            <w:pPr>
              <w:jc w:val="center"/>
              <w:rPr>
                <w:rFonts w:asciiTheme="majorEastAsia" w:hAnsiTheme="majorEastAsia" w:eastAsiaTheme="majorEastAsia"/>
                <w:sz w:val="18"/>
                <w:szCs w:val="18"/>
              </w:rPr>
            </w:pPr>
            <w:r>
              <w:rPr>
                <w:rFonts w:asciiTheme="majorEastAsia" w:hAnsiTheme="majorEastAsia" w:eastAsiaTheme="majorEastAsia"/>
                <w:sz w:val="18"/>
                <w:szCs w:val="18"/>
              </w:rPr>
              <w:t>设定值</w:t>
            </w:r>
            <w:r>
              <w:rPr>
                <w:rFonts w:hint="eastAsia" w:asciiTheme="majorEastAsia" w:hAnsiTheme="majorEastAsia" w:eastAsiaTheme="majorEastAsia"/>
                <w:sz w:val="18"/>
                <w:szCs w:val="18"/>
              </w:rPr>
              <w:t>±</w:t>
            </w:r>
            <w:r>
              <w:rPr>
                <w:rFonts w:asciiTheme="majorEastAsia" w:hAnsiTheme="majorEastAsia" w:eastAsiaTheme="majorEastAsia"/>
                <w:sz w:val="18"/>
                <w:szCs w:val="18"/>
              </w:rPr>
              <w:t>3.0</w:t>
            </w:r>
          </w:p>
        </w:tc>
        <w:tc>
          <w:tcPr>
            <w:tcW w:w="2699" w:type="dxa"/>
            <w:vAlign w:val="center"/>
          </w:tcPr>
          <w:p>
            <w:pPr>
              <w:jc w:val="center"/>
              <w:rPr>
                <w:sz w:val="18"/>
                <w:szCs w:val="18"/>
              </w:rPr>
            </w:pPr>
            <w:r>
              <w:rPr>
                <w:rFonts w:hint="eastAsia"/>
                <w:sz w:val="18"/>
                <w:szCs w:val="18"/>
              </w:rPr>
              <w:t>塑料和硬橡胶使用硬度计测定压痕硬度（邵氏</w:t>
            </w:r>
            <w:r>
              <w:rPr>
                <w:sz w:val="18"/>
                <w:szCs w:val="18"/>
              </w:rPr>
              <w:t>硬度</w:t>
            </w:r>
            <w:r>
              <w:rPr>
                <w:rFonts w:hint="eastAsia"/>
                <w:sz w:val="18"/>
                <w:szCs w:val="18"/>
              </w:rPr>
              <w:t>）</w:t>
            </w:r>
          </w:p>
          <w:p>
            <w:pPr>
              <w:jc w:val="center"/>
              <w:rPr>
                <w:sz w:val="18"/>
                <w:szCs w:val="18"/>
              </w:rPr>
            </w:pPr>
            <w:r>
              <w:rPr>
                <w:sz w:val="18"/>
                <w:szCs w:val="18"/>
              </w:rPr>
              <w:t>GB/T</w:t>
            </w:r>
            <w:r>
              <w:rPr>
                <w:rFonts w:hint="eastAsia"/>
                <w:sz w:val="18"/>
                <w:szCs w:val="18"/>
              </w:rPr>
              <w:t xml:space="preserve"> </w:t>
            </w:r>
            <w:r>
              <w:rPr>
                <w:sz w:val="18"/>
                <w:szCs w:val="18"/>
              </w:rPr>
              <w:t>2411-2008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555" w:type="dxa"/>
            <w:vAlign w:val="center"/>
          </w:tcPr>
          <w:p>
            <w:pPr>
              <w:jc w:val="center"/>
              <w:rPr>
                <w:rFonts w:hAnsi="宋体"/>
                <w:sz w:val="18"/>
                <w:szCs w:val="18"/>
              </w:rPr>
            </w:pPr>
            <w:r>
              <w:rPr>
                <w:rFonts w:hAnsi="宋体"/>
                <w:sz w:val="18"/>
                <w:szCs w:val="18"/>
              </w:rPr>
              <w:t>拉伸屈服</w:t>
            </w:r>
            <w:r>
              <w:rPr>
                <w:rFonts w:hint="eastAsia" w:hAnsi="宋体"/>
                <w:sz w:val="18"/>
                <w:szCs w:val="18"/>
              </w:rPr>
              <w:t>强度</w:t>
            </w:r>
          </w:p>
          <w:p>
            <w:pPr>
              <w:jc w:val="center"/>
              <w:rPr>
                <w:rFonts w:hAnsi="宋体"/>
                <w:sz w:val="18"/>
                <w:szCs w:val="18"/>
              </w:rPr>
            </w:pPr>
            <w:r>
              <w:rPr>
                <w:kern w:val="0"/>
                <w:sz w:val="18"/>
                <w:szCs w:val="18"/>
              </w:rPr>
              <w:t>MPa</w:t>
            </w:r>
          </w:p>
        </w:tc>
        <w:tc>
          <w:tcPr>
            <w:tcW w:w="1417" w:type="dxa"/>
            <w:vAlign w:val="center"/>
          </w:tcPr>
          <w:p>
            <w:pPr>
              <w:jc w:val="center"/>
              <w:rPr>
                <w:sz w:val="18"/>
                <w:szCs w:val="18"/>
              </w:rPr>
            </w:pPr>
            <w:r>
              <w:rPr>
                <w:rFonts w:hint="eastAsia" w:ascii="宋体" w:hAnsi="宋体"/>
                <w:sz w:val="18"/>
                <w:szCs w:val="18"/>
              </w:rPr>
              <w:t>≥</w:t>
            </w:r>
            <w:r>
              <w:rPr>
                <w:sz w:val="18"/>
                <w:szCs w:val="18"/>
              </w:rPr>
              <w:t>7.5</w:t>
            </w:r>
          </w:p>
        </w:tc>
        <w:tc>
          <w:tcPr>
            <w:tcW w:w="1418" w:type="dxa"/>
            <w:vAlign w:val="center"/>
          </w:tcPr>
          <w:p>
            <w:pPr>
              <w:jc w:val="center"/>
              <w:rPr>
                <w:sz w:val="18"/>
                <w:szCs w:val="18"/>
              </w:rPr>
            </w:pPr>
            <w:r>
              <w:rPr>
                <w:rFonts w:hint="eastAsia" w:ascii="宋体" w:hAnsi="宋体"/>
                <w:sz w:val="18"/>
                <w:szCs w:val="18"/>
              </w:rPr>
              <w:t>≥</w:t>
            </w:r>
            <w:r>
              <w:rPr>
                <w:sz w:val="18"/>
                <w:szCs w:val="18"/>
              </w:rPr>
              <w:t>13.0</w:t>
            </w:r>
          </w:p>
        </w:tc>
        <w:tc>
          <w:tcPr>
            <w:tcW w:w="1417" w:type="dxa"/>
            <w:vAlign w:val="center"/>
          </w:tcPr>
          <w:p>
            <w:pPr>
              <w:jc w:val="center"/>
              <w:rPr>
                <w:sz w:val="18"/>
                <w:szCs w:val="18"/>
              </w:rPr>
            </w:pPr>
            <w:r>
              <w:rPr>
                <w:rFonts w:hint="eastAsia" w:ascii="宋体" w:hAnsi="宋体"/>
                <w:sz w:val="18"/>
                <w:szCs w:val="18"/>
              </w:rPr>
              <w:t>≥</w:t>
            </w:r>
            <w:r>
              <w:rPr>
                <w:sz w:val="18"/>
                <w:szCs w:val="18"/>
              </w:rPr>
              <w:t>17.0</w:t>
            </w:r>
          </w:p>
        </w:tc>
        <w:tc>
          <w:tcPr>
            <w:tcW w:w="2699" w:type="dxa"/>
            <w:vMerge w:val="restart"/>
            <w:vAlign w:val="center"/>
          </w:tcPr>
          <w:p>
            <w:pPr>
              <w:jc w:val="center"/>
              <w:rPr>
                <w:sz w:val="18"/>
                <w:szCs w:val="18"/>
              </w:rPr>
            </w:pPr>
            <w:r>
              <w:rPr>
                <w:rFonts w:hint="eastAsia"/>
                <w:sz w:val="18"/>
                <w:szCs w:val="18"/>
              </w:rPr>
              <w:t>塑料_拉伸性能的测定_第2部分模塑和挤塑塑料的试验条件</w:t>
            </w:r>
          </w:p>
          <w:p>
            <w:pPr>
              <w:jc w:val="center"/>
              <w:rPr>
                <w:sz w:val="18"/>
                <w:szCs w:val="18"/>
              </w:rPr>
            </w:pPr>
            <w:r>
              <w:rPr>
                <w:rFonts w:hint="eastAsia"/>
                <w:sz w:val="18"/>
                <w:szCs w:val="18"/>
              </w:rPr>
              <w:t>GB/T 1040.2</w:t>
            </w:r>
            <w:r>
              <w:rPr>
                <w:sz w:val="18"/>
                <w:szCs w:val="18"/>
              </w:rPr>
              <w:t>/1-2006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555" w:type="dxa"/>
            <w:vAlign w:val="center"/>
          </w:tcPr>
          <w:p>
            <w:pPr>
              <w:jc w:val="center"/>
              <w:rPr>
                <w:rFonts w:hAnsi="宋体"/>
                <w:sz w:val="18"/>
                <w:szCs w:val="18"/>
              </w:rPr>
            </w:pPr>
            <w:r>
              <w:rPr>
                <w:rFonts w:hAnsi="宋体"/>
                <w:sz w:val="18"/>
                <w:szCs w:val="18"/>
              </w:rPr>
              <w:t>拉伸弹性模量</w:t>
            </w:r>
          </w:p>
          <w:p>
            <w:pPr>
              <w:jc w:val="center"/>
              <w:rPr>
                <w:rFonts w:hAnsi="宋体"/>
                <w:sz w:val="18"/>
                <w:szCs w:val="18"/>
              </w:rPr>
            </w:pPr>
            <w:r>
              <w:rPr>
                <w:kern w:val="0"/>
                <w:sz w:val="18"/>
                <w:szCs w:val="18"/>
              </w:rPr>
              <w:t>MPa</w:t>
            </w:r>
          </w:p>
        </w:tc>
        <w:tc>
          <w:tcPr>
            <w:tcW w:w="1417" w:type="dxa"/>
            <w:vAlign w:val="center"/>
          </w:tcPr>
          <w:p>
            <w:pPr>
              <w:jc w:val="center"/>
              <w:rPr>
                <w:sz w:val="18"/>
                <w:szCs w:val="18"/>
              </w:rPr>
            </w:pPr>
            <w:r>
              <w:rPr>
                <w:rFonts w:hint="eastAsia" w:ascii="宋体" w:hAnsi="宋体"/>
                <w:sz w:val="18"/>
                <w:szCs w:val="18"/>
              </w:rPr>
              <w:t>≥</w:t>
            </w:r>
            <w:r>
              <w:rPr>
                <w:sz w:val="18"/>
                <w:szCs w:val="18"/>
              </w:rPr>
              <w:t>180</w:t>
            </w:r>
          </w:p>
        </w:tc>
        <w:tc>
          <w:tcPr>
            <w:tcW w:w="1418" w:type="dxa"/>
            <w:vAlign w:val="center"/>
          </w:tcPr>
          <w:p>
            <w:pPr>
              <w:jc w:val="center"/>
              <w:rPr>
                <w:sz w:val="18"/>
                <w:szCs w:val="18"/>
              </w:rPr>
            </w:pPr>
            <w:r>
              <w:rPr>
                <w:rFonts w:hint="eastAsia" w:ascii="宋体" w:hAnsi="宋体"/>
                <w:sz w:val="18"/>
                <w:szCs w:val="18"/>
              </w:rPr>
              <w:t>≥</w:t>
            </w:r>
            <w:r>
              <w:rPr>
                <w:sz w:val="18"/>
                <w:szCs w:val="18"/>
              </w:rPr>
              <w:t>350</w:t>
            </w:r>
          </w:p>
        </w:tc>
        <w:tc>
          <w:tcPr>
            <w:tcW w:w="1417" w:type="dxa"/>
            <w:vAlign w:val="center"/>
          </w:tcPr>
          <w:p>
            <w:pPr>
              <w:jc w:val="center"/>
              <w:rPr>
                <w:sz w:val="18"/>
                <w:szCs w:val="18"/>
              </w:rPr>
            </w:pPr>
            <w:r>
              <w:rPr>
                <w:rFonts w:hint="eastAsia" w:ascii="宋体" w:hAnsi="宋体"/>
                <w:sz w:val="18"/>
                <w:szCs w:val="18"/>
              </w:rPr>
              <w:t>≥</w:t>
            </w:r>
            <w:r>
              <w:rPr>
                <w:sz w:val="18"/>
                <w:szCs w:val="18"/>
              </w:rPr>
              <w:t>600</w:t>
            </w:r>
          </w:p>
        </w:tc>
        <w:tc>
          <w:tcPr>
            <w:tcW w:w="2699"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555" w:type="dxa"/>
            <w:vAlign w:val="center"/>
          </w:tcPr>
          <w:p>
            <w:pPr>
              <w:pStyle w:val="33"/>
              <w:jc w:val="center"/>
              <w:rPr>
                <w:color w:val="auto"/>
                <w:sz w:val="18"/>
                <w:szCs w:val="18"/>
              </w:rPr>
            </w:pPr>
            <w:r>
              <w:rPr>
                <w:rFonts w:hint="eastAsia"/>
                <w:color w:val="auto"/>
                <w:sz w:val="18"/>
                <w:szCs w:val="18"/>
              </w:rPr>
              <w:t>拉伸断裂伸长率，</w:t>
            </w:r>
            <w:r>
              <w:rPr>
                <w:color w:val="auto"/>
                <w:sz w:val="18"/>
                <w:szCs w:val="18"/>
              </w:rPr>
              <w:t>%</w:t>
            </w:r>
          </w:p>
        </w:tc>
        <w:tc>
          <w:tcPr>
            <w:tcW w:w="1417" w:type="dxa"/>
            <w:vAlign w:val="center"/>
          </w:tcPr>
          <w:p>
            <w:pPr>
              <w:jc w:val="center"/>
              <w:rPr>
                <w:sz w:val="18"/>
                <w:szCs w:val="18"/>
              </w:rPr>
            </w:pPr>
            <w:r>
              <w:rPr>
                <w:rFonts w:hint="eastAsia"/>
                <w:sz w:val="18"/>
                <w:szCs w:val="18"/>
              </w:rPr>
              <w:t>/</w:t>
            </w:r>
          </w:p>
        </w:tc>
        <w:tc>
          <w:tcPr>
            <w:tcW w:w="1418" w:type="dxa"/>
            <w:vAlign w:val="center"/>
          </w:tcPr>
          <w:p>
            <w:pPr>
              <w:jc w:val="center"/>
              <w:rPr>
                <w:sz w:val="18"/>
                <w:szCs w:val="18"/>
              </w:rPr>
            </w:pPr>
            <w:r>
              <w:rPr>
                <w:rFonts w:hint="eastAsia"/>
                <w:sz w:val="18"/>
                <w:szCs w:val="18"/>
              </w:rPr>
              <w:t>/</w:t>
            </w:r>
          </w:p>
        </w:tc>
        <w:tc>
          <w:tcPr>
            <w:tcW w:w="1417" w:type="dxa"/>
            <w:vAlign w:val="center"/>
          </w:tcPr>
          <w:p>
            <w:pPr>
              <w:jc w:val="center"/>
              <w:rPr>
                <w:sz w:val="18"/>
                <w:szCs w:val="18"/>
              </w:rPr>
            </w:pPr>
            <w:r>
              <w:rPr>
                <w:rFonts w:hint="eastAsia" w:ascii="宋体" w:hAnsi="宋体"/>
                <w:sz w:val="18"/>
                <w:szCs w:val="18"/>
              </w:rPr>
              <w:t>≥</w:t>
            </w:r>
            <w:r>
              <w:rPr>
                <w:sz w:val="18"/>
                <w:szCs w:val="18"/>
              </w:rPr>
              <w:t>350</w:t>
            </w:r>
          </w:p>
        </w:tc>
        <w:tc>
          <w:tcPr>
            <w:tcW w:w="2699" w:type="dxa"/>
            <w:vMerge w:val="continue"/>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555" w:type="dxa"/>
            <w:vAlign w:val="center"/>
          </w:tcPr>
          <w:p>
            <w:pPr>
              <w:jc w:val="center"/>
              <w:rPr>
                <w:rFonts w:hAnsi="宋体"/>
                <w:sz w:val="18"/>
                <w:szCs w:val="18"/>
              </w:rPr>
            </w:pPr>
            <w:r>
              <w:rPr>
                <w:rFonts w:hint="eastAsia" w:hAnsi="宋体"/>
                <w:sz w:val="18"/>
                <w:szCs w:val="18"/>
              </w:rPr>
              <w:t>剪切强度</w:t>
            </w:r>
          </w:p>
          <w:p>
            <w:pPr>
              <w:jc w:val="center"/>
              <w:rPr>
                <w:rFonts w:hAnsi="宋体"/>
                <w:sz w:val="18"/>
                <w:szCs w:val="18"/>
              </w:rPr>
            </w:pPr>
            <w:r>
              <w:rPr>
                <w:kern w:val="0"/>
                <w:sz w:val="18"/>
                <w:szCs w:val="18"/>
              </w:rPr>
              <w:t>MPa</w:t>
            </w:r>
          </w:p>
        </w:tc>
        <w:tc>
          <w:tcPr>
            <w:tcW w:w="1417" w:type="dxa"/>
            <w:vAlign w:val="center"/>
          </w:tcPr>
          <w:p>
            <w:pPr>
              <w:jc w:val="center"/>
              <w:rPr>
                <w:sz w:val="18"/>
                <w:szCs w:val="18"/>
              </w:rPr>
            </w:pPr>
            <w:r>
              <w:rPr>
                <w:rFonts w:hint="eastAsia"/>
                <w:sz w:val="18"/>
                <w:szCs w:val="18"/>
              </w:rPr>
              <w:t>/</w:t>
            </w:r>
          </w:p>
        </w:tc>
        <w:tc>
          <w:tcPr>
            <w:tcW w:w="1418" w:type="dxa"/>
            <w:vAlign w:val="center"/>
          </w:tcPr>
          <w:p>
            <w:pPr>
              <w:jc w:val="center"/>
              <w:rPr>
                <w:sz w:val="18"/>
                <w:szCs w:val="18"/>
              </w:rPr>
            </w:pPr>
            <w:r>
              <w:rPr>
                <w:rFonts w:hint="eastAsia"/>
                <w:sz w:val="18"/>
                <w:szCs w:val="18"/>
              </w:rPr>
              <w:t>/</w:t>
            </w:r>
          </w:p>
        </w:tc>
        <w:tc>
          <w:tcPr>
            <w:tcW w:w="1417" w:type="dxa"/>
            <w:vAlign w:val="center"/>
          </w:tcPr>
          <w:p>
            <w:pPr>
              <w:jc w:val="center"/>
              <w:rPr>
                <w:sz w:val="18"/>
                <w:szCs w:val="18"/>
              </w:rPr>
            </w:pPr>
            <w:r>
              <w:rPr>
                <w:rFonts w:hint="eastAsia" w:ascii="宋体" w:hAnsi="宋体"/>
                <w:sz w:val="18"/>
                <w:szCs w:val="18"/>
              </w:rPr>
              <w:t>≥</w:t>
            </w:r>
            <w:r>
              <w:rPr>
                <w:sz w:val="18"/>
                <w:szCs w:val="18"/>
              </w:rPr>
              <w:t>18</w:t>
            </w:r>
          </w:p>
        </w:tc>
        <w:tc>
          <w:tcPr>
            <w:tcW w:w="2699" w:type="dxa"/>
            <w:vAlign w:val="center"/>
          </w:tcPr>
          <w:p>
            <w:pPr>
              <w:jc w:val="center"/>
              <w:rPr>
                <w:sz w:val="18"/>
                <w:szCs w:val="18"/>
              </w:rPr>
            </w:pPr>
            <w:r>
              <w:rPr>
                <w:rFonts w:hint="eastAsia"/>
                <w:sz w:val="18"/>
                <w:szCs w:val="18"/>
              </w:rPr>
              <w:t>塑料剪切强度试验方法_穿孔法</w:t>
            </w:r>
          </w:p>
          <w:p>
            <w:pPr>
              <w:jc w:val="center"/>
              <w:rPr>
                <w:sz w:val="18"/>
                <w:szCs w:val="18"/>
              </w:rPr>
            </w:pPr>
            <w:r>
              <w:rPr>
                <w:rFonts w:hint="eastAsia"/>
                <w:sz w:val="18"/>
                <w:szCs w:val="18"/>
              </w:rPr>
              <w:t xml:space="preserve">GB/T </w:t>
            </w:r>
            <w:r>
              <w:rPr>
                <w:sz w:val="18"/>
                <w:szCs w:val="18"/>
              </w:rPr>
              <w:t>15598-1995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555" w:type="dxa"/>
            <w:vAlign w:val="center"/>
          </w:tcPr>
          <w:p>
            <w:pPr>
              <w:jc w:val="center"/>
              <w:rPr>
                <w:rFonts w:hAnsi="宋体"/>
                <w:sz w:val="18"/>
                <w:szCs w:val="18"/>
              </w:rPr>
            </w:pPr>
            <w:r>
              <w:rPr>
                <w:rFonts w:hint="eastAsia" w:hAnsi="宋体"/>
                <w:sz w:val="18"/>
                <w:szCs w:val="18"/>
              </w:rPr>
              <w:t>弯曲</w:t>
            </w:r>
            <w:r>
              <w:rPr>
                <w:rFonts w:hAnsi="宋体"/>
                <w:sz w:val="18"/>
                <w:szCs w:val="18"/>
              </w:rPr>
              <w:t>强度</w:t>
            </w:r>
          </w:p>
          <w:p>
            <w:pPr>
              <w:jc w:val="center"/>
              <w:rPr>
                <w:rFonts w:hAnsi="宋体"/>
                <w:sz w:val="18"/>
                <w:szCs w:val="18"/>
              </w:rPr>
            </w:pPr>
            <w:r>
              <w:rPr>
                <w:kern w:val="0"/>
                <w:sz w:val="18"/>
                <w:szCs w:val="18"/>
              </w:rPr>
              <w:t>MPa</w:t>
            </w:r>
          </w:p>
        </w:tc>
        <w:tc>
          <w:tcPr>
            <w:tcW w:w="1417" w:type="dxa"/>
            <w:vAlign w:val="center"/>
          </w:tcPr>
          <w:p>
            <w:pPr>
              <w:jc w:val="center"/>
              <w:rPr>
                <w:sz w:val="18"/>
                <w:szCs w:val="18"/>
              </w:rPr>
            </w:pPr>
            <w:r>
              <w:rPr>
                <w:rFonts w:hint="eastAsia"/>
                <w:sz w:val="18"/>
                <w:szCs w:val="18"/>
              </w:rPr>
              <w:t>/</w:t>
            </w:r>
          </w:p>
        </w:tc>
        <w:tc>
          <w:tcPr>
            <w:tcW w:w="1418" w:type="dxa"/>
            <w:vAlign w:val="center"/>
          </w:tcPr>
          <w:p>
            <w:pPr>
              <w:jc w:val="center"/>
              <w:rPr>
                <w:sz w:val="18"/>
                <w:szCs w:val="18"/>
              </w:rPr>
            </w:pPr>
            <w:r>
              <w:rPr>
                <w:rFonts w:hint="eastAsia"/>
                <w:sz w:val="18"/>
                <w:szCs w:val="18"/>
              </w:rPr>
              <w:t>/</w:t>
            </w:r>
          </w:p>
        </w:tc>
        <w:tc>
          <w:tcPr>
            <w:tcW w:w="1417" w:type="dxa"/>
            <w:vAlign w:val="center"/>
          </w:tcPr>
          <w:p>
            <w:pPr>
              <w:jc w:val="center"/>
              <w:rPr>
                <w:sz w:val="18"/>
                <w:szCs w:val="18"/>
              </w:rPr>
            </w:pPr>
            <w:r>
              <w:rPr>
                <w:rFonts w:hint="eastAsia" w:ascii="宋体" w:hAnsi="宋体"/>
                <w:sz w:val="18"/>
                <w:szCs w:val="18"/>
              </w:rPr>
              <w:t>≥</w:t>
            </w:r>
            <w:r>
              <w:rPr>
                <w:sz w:val="18"/>
                <w:szCs w:val="18"/>
              </w:rPr>
              <w:t>40</w:t>
            </w:r>
          </w:p>
        </w:tc>
        <w:tc>
          <w:tcPr>
            <w:tcW w:w="2699" w:type="dxa"/>
            <w:vAlign w:val="center"/>
          </w:tcPr>
          <w:p>
            <w:pPr>
              <w:jc w:val="center"/>
              <w:rPr>
                <w:sz w:val="18"/>
                <w:szCs w:val="18"/>
              </w:rPr>
            </w:pPr>
            <w:r>
              <w:rPr>
                <w:rFonts w:hint="eastAsia"/>
                <w:sz w:val="18"/>
                <w:szCs w:val="18"/>
              </w:rPr>
              <w:t>塑料_弯曲性能的测定</w:t>
            </w:r>
          </w:p>
          <w:p>
            <w:pPr>
              <w:jc w:val="center"/>
              <w:rPr>
                <w:sz w:val="18"/>
                <w:szCs w:val="18"/>
              </w:rPr>
            </w:pPr>
            <w:r>
              <w:rPr>
                <w:rFonts w:hint="eastAsia"/>
                <w:sz w:val="18"/>
                <w:szCs w:val="18"/>
              </w:rPr>
              <w:t xml:space="preserve">GB/T </w:t>
            </w:r>
            <w:r>
              <w:rPr>
                <w:sz w:val="18"/>
                <w:szCs w:val="18"/>
              </w:rPr>
              <w:t>9341-2008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555" w:type="dxa"/>
            <w:vAlign w:val="center"/>
          </w:tcPr>
          <w:p>
            <w:pPr>
              <w:jc w:val="center"/>
              <w:rPr>
                <w:sz w:val="18"/>
                <w:szCs w:val="18"/>
              </w:rPr>
            </w:pPr>
            <w:r>
              <w:rPr>
                <w:rFonts w:hint="eastAsia"/>
                <w:sz w:val="18"/>
                <w:szCs w:val="18"/>
              </w:rPr>
              <w:t>落锤冲击强度</w:t>
            </w:r>
          </w:p>
          <w:p>
            <w:pPr>
              <w:jc w:val="center"/>
              <w:rPr>
                <w:rFonts w:hAnsi="宋体"/>
                <w:sz w:val="18"/>
                <w:szCs w:val="18"/>
              </w:rPr>
            </w:pPr>
            <w:r>
              <w:rPr>
                <w:sz w:val="18"/>
                <w:szCs w:val="18"/>
              </w:rPr>
              <w:t>J/mm</w:t>
            </w:r>
            <w:r>
              <w:rPr>
                <w:sz w:val="18"/>
                <w:szCs w:val="18"/>
                <w:vertAlign w:val="superscript"/>
              </w:rPr>
              <w:t>2</w:t>
            </w:r>
          </w:p>
        </w:tc>
        <w:tc>
          <w:tcPr>
            <w:tcW w:w="1417" w:type="dxa"/>
            <w:vAlign w:val="center"/>
          </w:tcPr>
          <w:p>
            <w:pPr>
              <w:jc w:val="center"/>
              <w:rPr>
                <w:sz w:val="18"/>
                <w:szCs w:val="18"/>
              </w:rPr>
            </w:pPr>
            <w:r>
              <w:rPr>
                <w:rFonts w:hint="eastAsia" w:ascii="宋体" w:hAnsi="宋体"/>
                <w:sz w:val="18"/>
                <w:szCs w:val="18"/>
              </w:rPr>
              <w:t>≥</w:t>
            </w:r>
            <w:r>
              <w:rPr>
                <w:sz w:val="18"/>
                <w:szCs w:val="18"/>
              </w:rPr>
              <w:t>15</w:t>
            </w:r>
          </w:p>
        </w:tc>
        <w:tc>
          <w:tcPr>
            <w:tcW w:w="1418" w:type="dxa"/>
            <w:vAlign w:val="center"/>
          </w:tcPr>
          <w:p>
            <w:pPr>
              <w:jc w:val="center"/>
              <w:rPr>
                <w:sz w:val="18"/>
                <w:szCs w:val="18"/>
              </w:rPr>
            </w:pPr>
            <w:r>
              <w:rPr>
                <w:rFonts w:hint="eastAsia" w:ascii="宋体" w:hAnsi="宋体"/>
                <w:sz w:val="18"/>
                <w:szCs w:val="18"/>
              </w:rPr>
              <w:t>≥</w:t>
            </w:r>
            <w:r>
              <w:rPr>
                <w:sz w:val="18"/>
                <w:szCs w:val="18"/>
              </w:rPr>
              <w:t>15</w:t>
            </w:r>
          </w:p>
        </w:tc>
        <w:tc>
          <w:tcPr>
            <w:tcW w:w="1417" w:type="dxa"/>
            <w:vAlign w:val="center"/>
          </w:tcPr>
          <w:p>
            <w:pPr>
              <w:jc w:val="center"/>
              <w:rPr>
                <w:sz w:val="18"/>
                <w:szCs w:val="18"/>
              </w:rPr>
            </w:pPr>
            <w:r>
              <w:rPr>
                <w:rFonts w:hint="eastAsia" w:ascii="宋体" w:hAnsi="宋体"/>
                <w:sz w:val="18"/>
                <w:szCs w:val="18"/>
              </w:rPr>
              <w:t>≥</w:t>
            </w:r>
            <w:r>
              <w:rPr>
                <w:sz w:val="18"/>
                <w:szCs w:val="18"/>
              </w:rPr>
              <w:t>15</w:t>
            </w:r>
          </w:p>
        </w:tc>
        <w:tc>
          <w:tcPr>
            <w:tcW w:w="2699" w:type="dxa"/>
            <w:vAlign w:val="center"/>
          </w:tcPr>
          <w:p>
            <w:pPr>
              <w:jc w:val="center"/>
              <w:rPr>
                <w:sz w:val="18"/>
                <w:szCs w:val="18"/>
              </w:rPr>
            </w:pPr>
            <w:r>
              <w:rPr>
                <w:rFonts w:hint="eastAsia"/>
                <w:sz w:val="18"/>
                <w:szCs w:val="18"/>
              </w:rPr>
              <w:t>硬质塑料板材耐冲击性能试验方法_落锤法</w:t>
            </w:r>
          </w:p>
          <w:p>
            <w:pPr>
              <w:jc w:val="center"/>
              <w:rPr>
                <w:sz w:val="18"/>
                <w:szCs w:val="18"/>
              </w:rPr>
            </w:pPr>
            <w:r>
              <w:rPr>
                <w:rFonts w:hint="eastAsia"/>
                <w:sz w:val="18"/>
                <w:szCs w:val="18"/>
              </w:rPr>
              <w:t>GB/T 11548</w:t>
            </w:r>
            <w:r>
              <w:rPr>
                <w:sz w:val="18"/>
                <w:szCs w:val="18"/>
              </w:rPr>
              <w:t>-1989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555" w:type="dxa"/>
            <w:vAlign w:val="center"/>
          </w:tcPr>
          <w:p>
            <w:pPr>
              <w:jc w:val="center"/>
              <w:rPr>
                <w:rFonts w:hAnsi="宋体"/>
                <w:sz w:val="18"/>
                <w:szCs w:val="18"/>
              </w:rPr>
            </w:pPr>
            <w:r>
              <w:rPr>
                <w:rFonts w:hAnsi="宋体"/>
                <w:sz w:val="18"/>
                <w:szCs w:val="18"/>
              </w:rPr>
              <w:t>缺口冲击</w:t>
            </w:r>
            <w:r>
              <w:rPr>
                <w:rFonts w:hint="eastAsia" w:hAnsi="宋体"/>
                <w:sz w:val="18"/>
                <w:szCs w:val="18"/>
              </w:rPr>
              <w:t>强度</w:t>
            </w:r>
          </w:p>
          <w:p>
            <w:pPr>
              <w:jc w:val="center"/>
              <w:rPr>
                <w:sz w:val="18"/>
                <w:szCs w:val="18"/>
              </w:rPr>
            </w:pPr>
            <w:r>
              <w:rPr>
                <w:rFonts w:hint="eastAsia" w:hAnsi="宋体"/>
                <w:sz w:val="18"/>
                <w:szCs w:val="18"/>
              </w:rPr>
              <w:t>（仅</w:t>
            </w:r>
            <w:r>
              <w:rPr>
                <w:rFonts w:hAnsi="宋体"/>
                <w:sz w:val="18"/>
                <w:szCs w:val="18"/>
              </w:rPr>
              <w:t>针对单层</w:t>
            </w:r>
            <w:r>
              <w:rPr>
                <w:rFonts w:hint="eastAsia" w:hAnsi="宋体"/>
                <w:sz w:val="18"/>
                <w:szCs w:val="18"/>
              </w:rPr>
              <w:t>船壳</w:t>
            </w:r>
            <w:r>
              <w:rPr>
                <w:rFonts w:hAnsi="宋体"/>
                <w:sz w:val="18"/>
                <w:szCs w:val="18"/>
              </w:rPr>
              <w:t>的船舶</w:t>
            </w:r>
            <w:r>
              <w:rPr>
                <w:rFonts w:hint="eastAsia" w:hAnsi="宋体"/>
                <w:sz w:val="18"/>
                <w:szCs w:val="18"/>
              </w:rPr>
              <w:t>）</w:t>
            </w:r>
          </w:p>
        </w:tc>
        <w:tc>
          <w:tcPr>
            <w:tcW w:w="1417" w:type="dxa"/>
            <w:vAlign w:val="center"/>
          </w:tcPr>
          <w:p>
            <w:pPr>
              <w:jc w:val="center"/>
              <w:rPr>
                <w:sz w:val="18"/>
                <w:szCs w:val="18"/>
              </w:rPr>
            </w:pPr>
            <w:r>
              <w:rPr>
                <w:rFonts w:hint="eastAsia" w:hAnsi="宋体"/>
                <w:sz w:val="18"/>
                <w:szCs w:val="18"/>
              </w:rPr>
              <w:t>不发生</w:t>
            </w:r>
            <w:r>
              <w:rPr>
                <w:rFonts w:hAnsi="宋体"/>
                <w:sz w:val="18"/>
                <w:szCs w:val="18"/>
              </w:rPr>
              <w:t>脆性断裂</w:t>
            </w:r>
          </w:p>
        </w:tc>
        <w:tc>
          <w:tcPr>
            <w:tcW w:w="1418" w:type="dxa"/>
            <w:vAlign w:val="center"/>
          </w:tcPr>
          <w:p>
            <w:pPr>
              <w:jc w:val="center"/>
              <w:rPr>
                <w:sz w:val="18"/>
                <w:szCs w:val="18"/>
              </w:rPr>
            </w:pPr>
            <w:r>
              <w:rPr>
                <w:rFonts w:hint="eastAsia" w:hAnsi="宋体"/>
                <w:sz w:val="18"/>
                <w:szCs w:val="18"/>
              </w:rPr>
              <w:t>不发生</w:t>
            </w:r>
            <w:r>
              <w:rPr>
                <w:rFonts w:hAnsi="宋体"/>
                <w:sz w:val="18"/>
                <w:szCs w:val="18"/>
              </w:rPr>
              <w:t>脆性断裂</w:t>
            </w:r>
          </w:p>
        </w:tc>
        <w:tc>
          <w:tcPr>
            <w:tcW w:w="1417" w:type="dxa"/>
            <w:vAlign w:val="center"/>
          </w:tcPr>
          <w:p>
            <w:pPr>
              <w:jc w:val="center"/>
              <w:rPr>
                <w:sz w:val="18"/>
                <w:szCs w:val="18"/>
              </w:rPr>
            </w:pPr>
            <w:r>
              <w:rPr>
                <w:rFonts w:hint="eastAsia" w:hAnsi="宋体"/>
                <w:sz w:val="18"/>
                <w:szCs w:val="18"/>
              </w:rPr>
              <w:t>不发生</w:t>
            </w:r>
            <w:r>
              <w:rPr>
                <w:rFonts w:hAnsi="宋体"/>
                <w:sz w:val="18"/>
                <w:szCs w:val="18"/>
              </w:rPr>
              <w:t>脆性断裂</w:t>
            </w:r>
          </w:p>
        </w:tc>
        <w:tc>
          <w:tcPr>
            <w:tcW w:w="2699" w:type="dxa"/>
            <w:vAlign w:val="center"/>
          </w:tcPr>
          <w:p>
            <w:pPr>
              <w:jc w:val="center"/>
              <w:rPr>
                <w:sz w:val="18"/>
                <w:szCs w:val="18"/>
              </w:rPr>
            </w:pPr>
            <w:r>
              <w:rPr>
                <w:rFonts w:hint="eastAsia"/>
                <w:sz w:val="18"/>
                <w:szCs w:val="18"/>
              </w:rPr>
              <w:t>悬臂梁冲击强度测定</w:t>
            </w:r>
          </w:p>
          <w:p>
            <w:pPr>
              <w:jc w:val="center"/>
              <w:rPr>
                <w:sz w:val="18"/>
                <w:szCs w:val="18"/>
              </w:rPr>
            </w:pPr>
            <w:r>
              <w:rPr>
                <w:rFonts w:hint="eastAsia"/>
                <w:sz w:val="18"/>
                <w:szCs w:val="18"/>
              </w:rPr>
              <w:t>GB/T 1843</w:t>
            </w:r>
            <w:r>
              <w:rPr>
                <w:sz w:val="18"/>
                <w:szCs w:val="18"/>
              </w:rPr>
              <w:t>-2008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8506" w:type="dxa"/>
            <w:gridSpan w:val="5"/>
            <w:vAlign w:val="center"/>
          </w:tcPr>
          <w:p>
            <w:pPr>
              <w:rPr>
                <w:sz w:val="18"/>
                <w:szCs w:val="18"/>
              </w:rPr>
            </w:pPr>
            <w:r>
              <w:rPr>
                <w:rFonts w:hint="eastAsia"/>
                <w:sz w:val="18"/>
                <w:szCs w:val="18"/>
              </w:rPr>
              <w:t>注1</w:t>
            </w:r>
            <w:r>
              <w:rPr>
                <w:sz w:val="18"/>
                <w:szCs w:val="18"/>
              </w:rPr>
              <w:t>：</w:t>
            </w:r>
            <w:r>
              <w:rPr>
                <w:rFonts w:hint="eastAsia"/>
                <w:sz w:val="18"/>
                <w:szCs w:val="18"/>
              </w:rPr>
              <w:t>表中各项性能指标均为</w:t>
            </w:r>
            <w:r>
              <w:rPr>
                <w:sz w:val="18"/>
                <w:szCs w:val="18"/>
              </w:rPr>
              <w:t>20</w:t>
            </w:r>
            <w:r>
              <w:rPr>
                <w:rFonts w:hint="eastAsia"/>
                <w:sz w:val="18"/>
                <w:szCs w:val="18"/>
              </w:rPr>
              <w:t>℃下的数值。</w:t>
            </w:r>
          </w:p>
        </w:tc>
      </w:tr>
    </w:tbl>
    <w:p>
      <w:pPr>
        <w:adjustRightInd w:val="0"/>
        <w:snapToGrid w:val="0"/>
        <w:jc w:val="left"/>
      </w:pPr>
      <w:bookmarkStart w:id="34" w:name="_Toc13950"/>
    </w:p>
    <w:p>
      <w:pPr>
        <w:adjustRightInd w:val="0"/>
        <w:snapToGrid w:val="0"/>
        <w:ind w:firstLine="420" w:firstLineChars="200"/>
      </w:pPr>
      <w:r>
        <w:rPr>
          <w:rFonts w:hint="eastAsia"/>
        </w:rPr>
        <w:t>3.</w:t>
      </w:r>
      <w:r>
        <w:t>2</w:t>
      </w:r>
      <w:r>
        <w:rPr>
          <w:rFonts w:hint="eastAsia"/>
        </w:rPr>
        <w:t>.</w:t>
      </w:r>
      <w:r>
        <w:t>2</w:t>
      </w:r>
      <w:r>
        <w:rPr>
          <w:rFonts w:hint="eastAsia"/>
        </w:rPr>
        <w:t xml:space="preserve">  在船体成型的同时，应采用同一批原材料，在相同的施工条件下制作3块样板，按照《</w:t>
      </w:r>
      <w:r>
        <w:t>塑料 试样</w:t>
      </w:r>
      <w:r>
        <w:rPr>
          <w:rFonts w:hint="eastAsia"/>
        </w:rPr>
        <w:t>》（</w:t>
      </w:r>
      <w:r>
        <w:t>GB/T 37426</w:t>
      </w:r>
      <w:r>
        <w:rPr>
          <w:rFonts w:hint="eastAsia"/>
        </w:rPr>
        <w:t>）进行机械加工制样，按照</w:t>
      </w:r>
      <w:r>
        <w:t>本章</w:t>
      </w:r>
      <w:r>
        <w:rPr>
          <w:rFonts w:hint="eastAsia"/>
        </w:rPr>
        <w:t>3.2.1进行</w:t>
      </w:r>
      <w:r>
        <w:t>性能</w:t>
      </w:r>
      <w:r>
        <w:rPr>
          <w:rFonts w:hint="eastAsia"/>
        </w:rPr>
        <w:t>试验。</w:t>
      </w:r>
    </w:p>
    <w:p>
      <w:pPr>
        <w:adjustRightInd w:val="0"/>
        <w:snapToGrid w:val="0"/>
        <w:ind w:firstLine="420" w:firstLineChars="200"/>
      </w:pPr>
      <w:r>
        <w:rPr>
          <w:rFonts w:hint="eastAsia"/>
        </w:rPr>
        <w:t>3.</w:t>
      </w:r>
      <w:r>
        <w:t>2</w:t>
      </w:r>
      <w:r>
        <w:rPr>
          <w:rFonts w:hint="eastAsia"/>
        </w:rPr>
        <w:t>.</w:t>
      </w:r>
      <w:r>
        <w:t>3</w:t>
      </w:r>
      <w:r>
        <w:rPr>
          <w:rFonts w:hint="eastAsia"/>
        </w:rPr>
        <w:t xml:space="preserve">  用于防火分隔结构中的隔热材料应为不燃材料，用于隔热和隔声的绝缘材料也一般应是</w:t>
      </w:r>
      <w:r>
        <w:t>不燃</w:t>
      </w:r>
      <w:r>
        <w:rPr>
          <w:rFonts w:hint="eastAsia"/>
        </w:rPr>
        <w:t>材料</w:t>
      </w:r>
      <w:r>
        <w:t>。</w:t>
      </w:r>
      <w:r>
        <w:rPr>
          <w:rFonts w:hint="eastAsia"/>
        </w:rPr>
        <w:t>机舱、</w:t>
      </w:r>
      <w:r>
        <w:t>厨房内壁</w:t>
      </w:r>
      <w:r>
        <w:rPr>
          <w:rFonts w:hint="eastAsia"/>
        </w:rPr>
        <w:t>以及</w:t>
      </w:r>
      <w:r>
        <w:t>面</w:t>
      </w:r>
      <w:r>
        <w:rPr>
          <w:rFonts w:hint="eastAsia"/>
        </w:rPr>
        <w:t>向</w:t>
      </w:r>
      <w:r>
        <w:t>机舱、厨房等高失火危险处所的</w:t>
      </w:r>
      <w:r>
        <w:rPr>
          <w:rFonts w:hint="eastAsia"/>
        </w:rPr>
        <w:t>聚乙烯材质</w:t>
      </w:r>
      <w:r>
        <w:t>的燃油柜表面，应敷设不燃性材料或将阻燃性树脂层积3次以上</w:t>
      </w:r>
      <w:r>
        <w:rPr>
          <w:rFonts w:hint="eastAsia"/>
        </w:rPr>
        <w:t>，机舱</w:t>
      </w:r>
      <w:r>
        <w:t>、厨房甲板应敷设适当厚度的不燃材料</w:t>
      </w:r>
      <w:r>
        <w:rPr>
          <w:rFonts w:hint="eastAsia"/>
        </w:rPr>
        <w:t>，</w:t>
      </w:r>
      <w:r>
        <w:t>储存汽油燃料的燃油柜应采用金属制作。</w:t>
      </w:r>
    </w:p>
    <w:p>
      <w:pPr>
        <w:adjustRightInd w:val="0"/>
        <w:snapToGrid w:val="0"/>
        <w:ind w:firstLine="420" w:firstLineChars="200"/>
        <w:rPr>
          <w:szCs w:val="21"/>
        </w:rPr>
      </w:pPr>
      <w:bookmarkStart w:id="35" w:name="_Toc9940"/>
      <w:r>
        <w:rPr>
          <w:rFonts w:hint="eastAsia"/>
        </w:rPr>
        <w:t>3.</w:t>
      </w:r>
      <w:r>
        <w:t>2</w:t>
      </w:r>
      <w:r>
        <w:rPr>
          <w:rFonts w:hint="eastAsia"/>
        </w:rPr>
        <w:t>.</w:t>
      </w:r>
      <w:r>
        <w:t>4</w:t>
      </w:r>
      <w:r>
        <w:rPr>
          <w:rFonts w:hint="eastAsia"/>
        </w:rPr>
        <w:t xml:space="preserve">  </w:t>
      </w:r>
      <w:r>
        <w:rPr>
          <w:rFonts w:hint="eastAsia"/>
          <w:szCs w:val="21"/>
        </w:rPr>
        <w:t>脱模剂</w:t>
      </w:r>
      <w:bookmarkEnd w:id="35"/>
      <w:r>
        <w:rPr>
          <w:rFonts w:hint="eastAsia"/>
          <w:szCs w:val="21"/>
        </w:rPr>
        <w:t>应</w:t>
      </w:r>
      <w:r>
        <w:rPr>
          <w:szCs w:val="21"/>
        </w:rPr>
        <w:t>满足</w:t>
      </w:r>
      <w:r>
        <w:rPr>
          <w:rFonts w:hint="eastAsia"/>
          <w:szCs w:val="21"/>
        </w:rPr>
        <w:t>以</w:t>
      </w:r>
      <w:r>
        <w:rPr>
          <w:szCs w:val="21"/>
        </w:rPr>
        <w:t>下要求</w:t>
      </w:r>
      <w:r>
        <w:rPr>
          <w:rFonts w:hint="eastAsia"/>
          <w:szCs w:val="21"/>
        </w:rPr>
        <w:t>：</w:t>
      </w:r>
    </w:p>
    <w:p>
      <w:pPr>
        <w:adjustRightInd w:val="0"/>
        <w:snapToGrid w:val="0"/>
        <w:ind w:firstLine="420" w:firstLineChars="200"/>
        <w:rPr>
          <w:szCs w:val="21"/>
        </w:rPr>
      </w:pPr>
      <w:bookmarkStart w:id="36" w:name="_Toc23063"/>
      <w:bookmarkStart w:id="37" w:name="_Toc32261"/>
      <w:r>
        <w:rPr>
          <w:rFonts w:hint="eastAsia"/>
        </w:rPr>
        <w:t>（1）</w:t>
      </w:r>
      <w:r>
        <w:rPr>
          <w:rFonts w:hint="eastAsia"/>
          <w:szCs w:val="21"/>
        </w:rPr>
        <w:t>脱模剂应具有良好的热稳定性和化学惰性</w:t>
      </w:r>
      <w:bookmarkEnd w:id="36"/>
      <w:bookmarkEnd w:id="37"/>
      <w:r>
        <w:rPr>
          <w:rFonts w:hint="eastAsia"/>
          <w:szCs w:val="21"/>
        </w:rPr>
        <w:t>；</w:t>
      </w:r>
    </w:p>
    <w:p>
      <w:pPr>
        <w:adjustRightInd w:val="0"/>
        <w:snapToGrid w:val="0"/>
        <w:ind w:firstLine="420" w:firstLineChars="200"/>
        <w:rPr>
          <w:szCs w:val="21"/>
        </w:rPr>
      </w:pPr>
      <w:bookmarkStart w:id="38" w:name="_Toc8396"/>
      <w:bookmarkStart w:id="39" w:name="_Toc5755"/>
      <w:r>
        <w:rPr>
          <w:rFonts w:hint="eastAsia"/>
        </w:rPr>
        <w:t>（2）</w:t>
      </w:r>
      <w:r>
        <w:rPr>
          <w:szCs w:val="21"/>
        </w:rPr>
        <w:t>脱模剂</w:t>
      </w:r>
      <w:r>
        <w:rPr>
          <w:rFonts w:hint="eastAsia"/>
          <w:szCs w:val="21"/>
        </w:rPr>
        <w:t>不</w:t>
      </w:r>
      <w:r>
        <w:rPr>
          <w:szCs w:val="21"/>
        </w:rPr>
        <w:t>应腐蚀模具表面，不在产品表面残留分解物</w:t>
      </w:r>
      <w:bookmarkEnd w:id="38"/>
      <w:bookmarkEnd w:id="39"/>
      <w:r>
        <w:rPr>
          <w:rFonts w:hint="eastAsia"/>
          <w:szCs w:val="21"/>
        </w:rPr>
        <w:t>；</w:t>
      </w:r>
    </w:p>
    <w:p>
      <w:pPr>
        <w:adjustRightInd w:val="0"/>
        <w:snapToGrid w:val="0"/>
        <w:ind w:firstLine="420" w:firstLineChars="200"/>
        <w:rPr>
          <w:szCs w:val="21"/>
        </w:rPr>
      </w:pPr>
      <w:bookmarkStart w:id="40" w:name="_Toc19442"/>
      <w:bookmarkStart w:id="41" w:name="_Toc17205"/>
      <w:r>
        <w:rPr>
          <w:rFonts w:hint="eastAsia"/>
        </w:rPr>
        <w:t>（3）</w:t>
      </w:r>
      <w:r>
        <w:rPr>
          <w:szCs w:val="21"/>
        </w:rPr>
        <w:t>脱模剂</w:t>
      </w:r>
      <w:r>
        <w:rPr>
          <w:rFonts w:hint="eastAsia"/>
          <w:szCs w:val="21"/>
        </w:rPr>
        <w:t>不</w:t>
      </w:r>
      <w:r>
        <w:rPr>
          <w:szCs w:val="21"/>
        </w:rPr>
        <w:t>应影响船体的色泽和老化稳定性</w:t>
      </w:r>
      <w:bookmarkEnd w:id="40"/>
      <w:bookmarkEnd w:id="41"/>
      <w:r>
        <w:rPr>
          <w:rFonts w:hint="eastAsia"/>
          <w:szCs w:val="21"/>
        </w:rPr>
        <w:t>；</w:t>
      </w:r>
    </w:p>
    <w:p>
      <w:pPr>
        <w:adjustRightInd w:val="0"/>
        <w:snapToGrid w:val="0"/>
        <w:ind w:firstLine="420" w:firstLineChars="200"/>
        <w:rPr>
          <w:szCs w:val="21"/>
        </w:rPr>
      </w:pPr>
      <w:bookmarkStart w:id="42" w:name="_Toc31423"/>
      <w:bookmarkStart w:id="43" w:name="_Toc10759"/>
      <w:r>
        <w:rPr>
          <w:rFonts w:hint="eastAsia"/>
        </w:rPr>
        <w:t>（4）</w:t>
      </w:r>
      <w:r>
        <w:rPr>
          <w:szCs w:val="21"/>
        </w:rPr>
        <w:t>脱</w:t>
      </w:r>
      <w:r>
        <w:rPr>
          <w:rFonts w:hint="eastAsia"/>
          <w:szCs w:val="21"/>
        </w:rPr>
        <w:t>模剂应采用甲基硅油、硅油或与之等效的其他高聚物。</w:t>
      </w:r>
      <w:bookmarkEnd w:id="42"/>
      <w:bookmarkEnd w:id="43"/>
    </w:p>
    <w:bookmarkEnd w:id="34"/>
    <w:p>
      <w:pPr>
        <w:adjustRightInd w:val="0"/>
        <w:snapToGrid w:val="0"/>
        <w:ind w:firstLine="420" w:firstLineChars="200"/>
      </w:pPr>
      <w:r>
        <w:rPr>
          <w:rFonts w:hint="eastAsia"/>
        </w:rPr>
        <w:t>3.</w:t>
      </w:r>
      <w:r>
        <w:t>2</w:t>
      </w:r>
      <w:r>
        <w:rPr>
          <w:rFonts w:hint="eastAsia"/>
        </w:rPr>
        <w:t>.</w:t>
      </w:r>
      <w:r>
        <w:t>5</w:t>
      </w:r>
      <w:r>
        <w:rPr>
          <w:rFonts w:hint="eastAsia"/>
        </w:rPr>
        <w:t xml:space="preserve"> </w:t>
      </w:r>
      <w:r>
        <w:t xml:space="preserve"> </w:t>
      </w:r>
      <w:r>
        <w:rPr>
          <w:rFonts w:hint="eastAsia"/>
        </w:rPr>
        <w:t>抗氧剂应能延缓高分子材料的氧化过程，使之便于加工并延长其使用寿命。</w:t>
      </w:r>
    </w:p>
    <w:p>
      <w:pPr>
        <w:adjustRightInd w:val="0"/>
        <w:snapToGrid w:val="0"/>
        <w:ind w:firstLine="420" w:firstLineChars="200"/>
      </w:pPr>
      <w:r>
        <w:rPr>
          <w:rFonts w:hint="eastAsia"/>
        </w:rPr>
        <w:t>3.</w:t>
      </w:r>
      <w:r>
        <w:t>2</w:t>
      </w:r>
      <w:r>
        <w:rPr>
          <w:rFonts w:hint="eastAsia"/>
        </w:rPr>
        <w:t>.</w:t>
      </w:r>
      <w:r>
        <w:t>6</w:t>
      </w:r>
      <w:r>
        <w:rPr>
          <w:rFonts w:hint="eastAsia"/>
        </w:rPr>
        <w:t xml:space="preserve"> </w:t>
      </w:r>
      <w:r>
        <w:t xml:space="preserve"> </w:t>
      </w:r>
      <w:r>
        <w:rPr>
          <w:rFonts w:hint="eastAsia"/>
        </w:rPr>
        <w:t>阻燃剂</w:t>
      </w:r>
      <w:r>
        <w:t>应</w:t>
      </w:r>
      <w:r>
        <w:rPr>
          <w:rFonts w:hint="eastAsia"/>
        </w:rPr>
        <w:t>具有</w:t>
      </w:r>
      <w:r>
        <w:t>以下</w:t>
      </w:r>
      <w:r>
        <w:rPr>
          <w:rFonts w:hint="eastAsia"/>
        </w:rPr>
        <w:t>条件</w:t>
      </w:r>
      <w:r>
        <w:t>：</w:t>
      </w:r>
    </w:p>
    <w:p>
      <w:pPr>
        <w:adjustRightInd w:val="0"/>
        <w:snapToGrid w:val="0"/>
        <w:ind w:firstLine="420" w:firstLineChars="200"/>
      </w:pPr>
      <w:r>
        <w:rPr>
          <w:rFonts w:hint="eastAsia"/>
        </w:rPr>
        <w:t>（1）</w:t>
      </w:r>
      <w:r>
        <w:t>不降低高分</w:t>
      </w:r>
      <w:r>
        <w:rPr>
          <w:rFonts w:hint="eastAsia"/>
        </w:rPr>
        <w:t>子</w:t>
      </w:r>
      <w:r>
        <w:t>材料的</w:t>
      </w:r>
      <w:r>
        <w:rPr>
          <w:rFonts w:hint="eastAsia"/>
        </w:rPr>
        <w:t>物理</w:t>
      </w:r>
      <w:r>
        <w:t>、</w:t>
      </w:r>
      <w:r>
        <w:rPr>
          <w:rFonts w:hint="eastAsia"/>
        </w:rPr>
        <w:t>化学</w:t>
      </w:r>
      <w:r>
        <w:t>和力学性能；</w:t>
      </w:r>
    </w:p>
    <w:p>
      <w:pPr>
        <w:adjustRightInd w:val="0"/>
        <w:snapToGrid w:val="0"/>
        <w:ind w:firstLine="420" w:firstLineChars="200"/>
      </w:pPr>
      <w:r>
        <w:rPr>
          <w:rFonts w:hint="eastAsia"/>
        </w:rPr>
        <w:t>（2）分解</w:t>
      </w:r>
      <w:r>
        <w:t>温度</w:t>
      </w:r>
      <w:r>
        <w:rPr>
          <w:rFonts w:hint="eastAsia"/>
        </w:rPr>
        <w:t>低</w:t>
      </w:r>
      <w:r>
        <w:t>；</w:t>
      </w:r>
    </w:p>
    <w:p>
      <w:pPr>
        <w:adjustRightInd w:val="0"/>
        <w:snapToGrid w:val="0"/>
        <w:ind w:firstLine="420" w:firstLineChars="200"/>
      </w:pPr>
      <w:r>
        <w:rPr>
          <w:rFonts w:hint="eastAsia"/>
        </w:rPr>
        <w:t>（3）具有良好的耐久性</w:t>
      </w:r>
      <w:r>
        <w:t>和耐候性</w:t>
      </w:r>
      <w:r>
        <w:rPr>
          <w:rFonts w:hint="eastAsia"/>
        </w:rPr>
        <w:t>；</w:t>
      </w:r>
    </w:p>
    <w:p>
      <w:pPr>
        <w:adjustRightInd w:val="0"/>
        <w:snapToGrid w:val="0"/>
        <w:ind w:firstLine="420" w:firstLineChars="200"/>
      </w:pPr>
      <w:r>
        <w:rPr>
          <w:rFonts w:hint="eastAsia"/>
        </w:rPr>
        <w:t>（4）应</w:t>
      </w:r>
      <w:r>
        <w:t>使用</w:t>
      </w:r>
      <w:r>
        <w:rPr>
          <w:rFonts w:hint="eastAsia"/>
        </w:rPr>
        <w:t>溴类阻燃剂</w:t>
      </w:r>
      <w:r>
        <w:t>，加入阻燃剂的</w:t>
      </w:r>
      <w:r>
        <w:rPr>
          <w:rFonts w:hint="eastAsia"/>
        </w:rPr>
        <w:t>成型</w:t>
      </w:r>
      <w:r>
        <w:t>板材应具有</w:t>
      </w:r>
      <w:r>
        <w:rPr>
          <w:rFonts w:hint="eastAsia"/>
        </w:rPr>
        <w:t>离火</w:t>
      </w:r>
      <w:r>
        <w:t>焰后的自熄性能。</w:t>
      </w:r>
    </w:p>
    <w:p>
      <w:pPr>
        <w:adjustRightInd w:val="0"/>
        <w:snapToGrid w:val="0"/>
        <w:ind w:firstLine="420" w:firstLineChars="200"/>
      </w:pPr>
      <w:r>
        <w:rPr>
          <w:rFonts w:hint="eastAsia"/>
        </w:rPr>
        <w:t>3.</w:t>
      </w:r>
      <w:r>
        <w:t>2</w:t>
      </w:r>
      <w:r>
        <w:rPr>
          <w:rFonts w:hint="eastAsia"/>
        </w:rPr>
        <w:t>.</w:t>
      </w:r>
      <w:r>
        <w:t>7</w:t>
      </w:r>
      <w:r>
        <w:rPr>
          <w:rFonts w:hint="eastAsia"/>
        </w:rPr>
        <w:t xml:space="preserve"> </w:t>
      </w:r>
      <w:r>
        <w:t xml:space="preserve"> </w:t>
      </w:r>
      <w:r>
        <w:rPr>
          <w:rFonts w:hint="eastAsia"/>
        </w:rPr>
        <w:t>每艘船所含色母总质量不超过所添加原料的4%，并均匀地分布在材料中。</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44" w:name="_Toc50386758"/>
      <w:bookmarkStart w:id="45" w:name="_Toc70411342"/>
      <w:r>
        <w:rPr>
          <w:rFonts w:eastAsia="楷体"/>
          <w:b w:val="0"/>
          <w:bCs w:val="0"/>
          <w:snapToGrid w:val="0"/>
          <w:kern w:val="0"/>
          <w:sz w:val="28"/>
          <w:szCs w:val="20"/>
        </w:rPr>
        <w:t xml:space="preserve">第3节  </w:t>
      </w:r>
      <w:r>
        <w:rPr>
          <w:rFonts w:hint="eastAsia" w:eastAsia="楷体"/>
          <w:b w:val="0"/>
          <w:bCs w:val="0"/>
          <w:snapToGrid w:val="0"/>
          <w:kern w:val="0"/>
          <w:sz w:val="28"/>
          <w:szCs w:val="20"/>
        </w:rPr>
        <w:t>建造</w:t>
      </w:r>
      <w:r>
        <w:rPr>
          <w:rFonts w:eastAsia="楷体"/>
          <w:b w:val="0"/>
          <w:bCs w:val="0"/>
          <w:snapToGrid w:val="0"/>
          <w:kern w:val="0"/>
          <w:sz w:val="28"/>
          <w:szCs w:val="20"/>
        </w:rPr>
        <w:t>工艺</w:t>
      </w:r>
      <w:bookmarkEnd w:id="44"/>
      <w:bookmarkEnd w:id="45"/>
    </w:p>
    <w:p>
      <w:pPr>
        <w:adjustRightInd w:val="0"/>
        <w:snapToGrid w:val="0"/>
        <w:ind w:firstLine="422" w:firstLineChars="200"/>
        <w:rPr>
          <w:b/>
        </w:rPr>
      </w:pPr>
      <w:r>
        <w:rPr>
          <w:rFonts w:hint="eastAsia"/>
          <w:b/>
        </w:rPr>
        <w:t>3.</w:t>
      </w:r>
      <w:r>
        <w:rPr>
          <w:b/>
        </w:rPr>
        <w:t>3</w:t>
      </w:r>
      <w:r>
        <w:rPr>
          <w:rFonts w:hint="eastAsia"/>
          <w:b/>
        </w:rPr>
        <w:t>.</w:t>
      </w:r>
      <w:r>
        <w:rPr>
          <w:b/>
        </w:rPr>
        <w:t>1</w:t>
      </w:r>
      <w:r>
        <w:rPr>
          <w:rFonts w:hint="eastAsia"/>
          <w:b/>
        </w:rPr>
        <w:t xml:space="preserve">  滚塑工艺</w:t>
      </w:r>
    </w:p>
    <w:p>
      <w:pPr>
        <w:adjustRightInd w:val="0"/>
        <w:snapToGrid w:val="0"/>
        <w:ind w:firstLine="420" w:firstLineChars="200"/>
        <w:rPr>
          <w:szCs w:val="21"/>
        </w:rPr>
      </w:pPr>
      <w:r>
        <w:rPr>
          <w:szCs w:val="21"/>
        </w:rPr>
        <w:t>3</w:t>
      </w:r>
      <w:r>
        <w:rPr>
          <w:rFonts w:hint="eastAsia"/>
          <w:szCs w:val="21"/>
        </w:rPr>
        <w:t>.</w:t>
      </w:r>
      <w:r>
        <w:rPr>
          <w:szCs w:val="21"/>
        </w:rPr>
        <w:t>3</w:t>
      </w:r>
      <w:r>
        <w:rPr>
          <w:rFonts w:hint="eastAsia"/>
          <w:szCs w:val="21"/>
        </w:rPr>
        <w:t>.</w:t>
      </w:r>
      <w:r>
        <w:rPr>
          <w:szCs w:val="21"/>
        </w:rPr>
        <w:t>1</w:t>
      </w:r>
      <w:r>
        <w:rPr>
          <w:rFonts w:hint="eastAsia"/>
          <w:szCs w:val="21"/>
        </w:rPr>
        <w:t>.</w:t>
      </w:r>
      <w:r>
        <w:rPr>
          <w:szCs w:val="21"/>
        </w:rPr>
        <w:t>1  车间</w:t>
      </w:r>
    </w:p>
    <w:p>
      <w:pPr>
        <w:adjustRightInd w:val="0"/>
        <w:snapToGrid w:val="0"/>
        <w:ind w:firstLine="420" w:firstLineChars="200"/>
        <w:rPr>
          <w:szCs w:val="21"/>
        </w:rPr>
      </w:pPr>
      <w:r>
        <w:rPr>
          <w:rFonts w:hint="eastAsia"/>
          <w:szCs w:val="21"/>
        </w:rPr>
        <w:t>（1）制造聚乙烯渔船的厂房应适合所采用的生产程序，</w:t>
      </w:r>
      <w:r>
        <w:rPr>
          <w:szCs w:val="21"/>
        </w:rPr>
        <w:t>满足</w:t>
      </w:r>
      <w:r>
        <w:rPr>
          <w:rFonts w:hint="eastAsia"/>
          <w:szCs w:val="21"/>
        </w:rPr>
        <w:t>《粉尘防爆安全规程》（</w:t>
      </w:r>
      <w:r>
        <w:rPr>
          <w:szCs w:val="21"/>
        </w:rPr>
        <w:t>GB15577-2018</w:t>
      </w:r>
      <w:r>
        <w:rPr>
          <w:rFonts w:hint="eastAsia"/>
          <w:szCs w:val="21"/>
        </w:rPr>
        <w:t>）标准</w:t>
      </w:r>
      <w:r>
        <w:rPr>
          <w:szCs w:val="21"/>
        </w:rPr>
        <w:t>要求</w:t>
      </w:r>
      <w:r>
        <w:rPr>
          <w:rFonts w:hint="eastAsia"/>
          <w:szCs w:val="21"/>
        </w:rPr>
        <w:t>。</w:t>
      </w:r>
    </w:p>
    <w:p>
      <w:pPr>
        <w:adjustRightInd w:val="0"/>
        <w:snapToGrid w:val="0"/>
        <w:ind w:firstLine="420" w:firstLineChars="200"/>
        <w:rPr>
          <w:szCs w:val="21"/>
        </w:rPr>
      </w:pPr>
      <w:r>
        <w:rPr>
          <w:rFonts w:hint="eastAsia"/>
          <w:szCs w:val="21"/>
        </w:rPr>
        <w:t>（2）成型车间的设备配备和布置应能符合聚乙烯渔船的成型要求，并应保持清洁和有效的工作条件。</w:t>
      </w:r>
    </w:p>
    <w:p>
      <w:pPr>
        <w:adjustRightInd w:val="0"/>
        <w:snapToGrid w:val="0"/>
        <w:ind w:firstLine="420" w:firstLineChars="200"/>
        <w:rPr>
          <w:szCs w:val="21"/>
        </w:rPr>
      </w:pPr>
      <w:r>
        <w:rPr>
          <w:rFonts w:hint="eastAsia"/>
          <w:szCs w:val="21"/>
        </w:rPr>
        <w:t>（3）生产聚乙烯渔船的船厂，应有独立的储料间。</w:t>
      </w:r>
    </w:p>
    <w:p>
      <w:pPr>
        <w:adjustRightInd w:val="0"/>
        <w:snapToGrid w:val="0"/>
        <w:ind w:firstLine="420" w:firstLineChars="200"/>
        <w:rPr>
          <w:szCs w:val="21"/>
        </w:rPr>
      </w:pPr>
      <w:r>
        <w:rPr>
          <w:rFonts w:hint="eastAsia"/>
          <w:szCs w:val="21"/>
        </w:rPr>
        <w:t>（4）储料间应保持清洁，温度变化小，储料装置应密封，并隔离光、热、潮气及其他有害介质的作用。</w:t>
      </w:r>
    </w:p>
    <w:p>
      <w:pPr>
        <w:adjustRightInd w:val="0"/>
        <w:snapToGrid w:val="0"/>
        <w:ind w:firstLine="420" w:firstLineChars="200"/>
        <w:rPr>
          <w:szCs w:val="21"/>
        </w:rPr>
      </w:pPr>
      <w:r>
        <w:rPr>
          <w:szCs w:val="21"/>
        </w:rPr>
        <w:t>3</w:t>
      </w:r>
      <w:r>
        <w:rPr>
          <w:rFonts w:hint="eastAsia"/>
          <w:szCs w:val="21"/>
        </w:rPr>
        <w:t>.</w:t>
      </w:r>
      <w:r>
        <w:rPr>
          <w:szCs w:val="21"/>
        </w:rPr>
        <w:t>3</w:t>
      </w:r>
      <w:r>
        <w:rPr>
          <w:rFonts w:hint="eastAsia"/>
          <w:szCs w:val="21"/>
        </w:rPr>
        <w:t>.</w:t>
      </w:r>
      <w:r>
        <w:rPr>
          <w:szCs w:val="21"/>
        </w:rPr>
        <w:t>1</w:t>
      </w:r>
      <w:r>
        <w:rPr>
          <w:rFonts w:hint="eastAsia"/>
          <w:szCs w:val="21"/>
        </w:rPr>
        <w:t>.</w:t>
      </w:r>
      <w:r>
        <w:rPr>
          <w:szCs w:val="21"/>
        </w:rPr>
        <w:t xml:space="preserve">2  </w:t>
      </w:r>
      <w:r>
        <w:rPr>
          <w:rFonts w:hint="eastAsia"/>
          <w:szCs w:val="21"/>
        </w:rPr>
        <w:t>模具</w:t>
      </w:r>
    </w:p>
    <w:p>
      <w:pPr>
        <w:adjustRightInd w:val="0"/>
        <w:snapToGrid w:val="0"/>
        <w:ind w:firstLine="420" w:firstLineChars="200"/>
        <w:rPr>
          <w:szCs w:val="21"/>
        </w:rPr>
      </w:pPr>
      <w:r>
        <w:rPr>
          <w:rFonts w:hint="eastAsia"/>
          <w:szCs w:val="21"/>
        </w:rPr>
        <w:t>（1）滚塑成型的模具应采用金属材料制成，能保证顺利脱模，</w:t>
      </w:r>
      <w:r>
        <w:rPr>
          <w:szCs w:val="21"/>
        </w:rPr>
        <w:t>并</w:t>
      </w:r>
      <w:r>
        <w:rPr>
          <w:rFonts w:hint="eastAsia"/>
          <w:szCs w:val="21"/>
        </w:rPr>
        <w:t>满足下列要求：</w:t>
      </w:r>
    </w:p>
    <w:p>
      <w:pPr>
        <w:adjustRightInd w:val="0"/>
        <w:snapToGrid w:val="0"/>
        <w:ind w:left="1260" w:leftChars="400" w:hanging="420" w:hangingChars="200"/>
        <w:rPr>
          <w:szCs w:val="21"/>
        </w:rPr>
      </w:pPr>
      <w:r>
        <w:rPr>
          <w:rFonts w:hint="eastAsia"/>
          <w:szCs w:val="21"/>
        </w:rPr>
        <w:t>① 尺寸、精度、外观均应满足成型工艺要求；</w:t>
      </w:r>
    </w:p>
    <w:p>
      <w:pPr>
        <w:adjustRightInd w:val="0"/>
        <w:snapToGrid w:val="0"/>
        <w:ind w:left="1260" w:leftChars="400" w:hanging="420" w:hangingChars="200"/>
        <w:rPr>
          <w:szCs w:val="21"/>
        </w:rPr>
      </w:pPr>
      <w:r>
        <w:rPr>
          <w:rFonts w:hint="eastAsia"/>
          <w:szCs w:val="21"/>
        </w:rPr>
        <w:t>② 具有足够的刚度和强度，应不易变形，不易损坏；</w:t>
      </w:r>
    </w:p>
    <w:p>
      <w:pPr>
        <w:adjustRightInd w:val="0"/>
        <w:snapToGrid w:val="0"/>
        <w:ind w:left="1260" w:leftChars="400" w:hanging="420" w:hangingChars="200"/>
        <w:rPr>
          <w:szCs w:val="21"/>
        </w:rPr>
      </w:pPr>
      <w:r>
        <w:rPr>
          <w:rFonts w:hint="eastAsia"/>
          <w:szCs w:val="21"/>
        </w:rPr>
        <w:t>③ 不受树脂和辅助材料的侵蚀，不影响树脂固化，能经受成型温度的影响。</w:t>
      </w:r>
    </w:p>
    <w:p>
      <w:pPr>
        <w:adjustRightInd w:val="0"/>
        <w:snapToGrid w:val="0"/>
        <w:ind w:firstLine="420" w:firstLineChars="200"/>
        <w:rPr>
          <w:szCs w:val="21"/>
        </w:rPr>
      </w:pPr>
      <w:r>
        <w:rPr>
          <w:szCs w:val="21"/>
        </w:rPr>
        <w:t>3</w:t>
      </w:r>
      <w:r>
        <w:rPr>
          <w:rFonts w:hint="eastAsia"/>
          <w:szCs w:val="21"/>
        </w:rPr>
        <w:t>.</w:t>
      </w:r>
      <w:r>
        <w:rPr>
          <w:szCs w:val="21"/>
        </w:rPr>
        <w:t>3</w:t>
      </w:r>
      <w:r>
        <w:rPr>
          <w:rFonts w:hint="eastAsia"/>
          <w:szCs w:val="21"/>
        </w:rPr>
        <w:t>.</w:t>
      </w:r>
      <w:r>
        <w:rPr>
          <w:szCs w:val="21"/>
        </w:rPr>
        <w:t>1</w:t>
      </w:r>
      <w:r>
        <w:rPr>
          <w:rFonts w:hint="eastAsia"/>
          <w:szCs w:val="21"/>
        </w:rPr>
        <w:t>.</w:t>
      </w:r>
      <w:r>
        <w:rPr>
          <w:szCs w:val="21"/>
        </w:rPr>
        <w:t xml:space="preserve">3  </w:t>
      </w:r>
      <w:r>
        <w:rPr>
          <w:rFonts w:hint="eastAsia"/>
          <w:szCs w:val="21"/>
        </w:rPr>
        <w:t>成型前</w:t>
      </w:r>
    </w:p>
    <w:p>
      <w:pPr>
        <w:adjustRightInd w:val="0"/>
        <w:snapToGrid w:val="0"/>
        <w:ind w:firstLine="420" w:firstLineChars="200"/>
        <w:rPr>
          <w:szCs w:val="21"/>
        </w:rPr>
      </w:pPr>
      <w:r>
        <w:rPr>
          <w:rFonts w:hint="eastAsia"/>
          <w:szCs w:val="21"/>
        </w:rPr>
        <w:t>（1）各种设备及工具应适合生产要求。</w:t>
      </w:r>
    </w:p>
    <w:p>
      <w:pPr>
        <w:adjustRightInd w:val="0"/>
        <w:snapToGrid w:val="0"/>
        <w:ind w:firstLine="420" w:firstLineChars="200"/>
        <w:rPr>
          <w:szCs w:val="21"/>
        </w:rPr>
      </w:pPr>
      <w:r>
        <w:rPr>
          <w:rFonts w:hint="eastAsia"/>
          <w:szCs w:val="21"/>
        </w:rPr>
        <w:t>（2）预埋件安装及焊接应完好，预埋件不与船体发生化学反应。</w:t>
      </w:r>
    </w:p>
    <w:p>
      <w:pPr>
        <w:adjustRightInd w:val="0"/>
        <w:snapToGrid w:val="0"/>
        <w:ind w:firstLine="420" w:firstLineChars="200"/>
        <w:rPr>
          <w:szCs w:val="21"/>
        </w:rPr>
      </w:pPr>
      <w:r>
        <w:rPr>
          <w:rFonts w:hint="eastAsia"/>
          <w:szCs w:val="21"/>
        </w:rPr>
        <w:t>（3）成型前应校核模具的尺寸和线型是否与设计图纸和放样资料相符合，如不符合应进行校正。</w:t>
      </w:r>
    </w:p>
    <w:p>
      <w:pPr>
        <w:adjustRightInd w:val="0"/>
        <w:snapToGrid w:val="0"/>
        <w:ind w:firstLine="420" w:firstLineChars="200"/>
        <w:rPr>
          <w:szCs w:val="21"/>
        </w:rPr>
      </w:pPr>
      <w:r>
        <w:rPr>
          <w:rFonts w:hint="eastAsia"/>
          <w:szCs w:val="21"/>
        </w:rPr>
        <w:t>（4）清除模具表面灰尘、脏物及残留的脱模剂，工作表面若有损坏应进行修补。</w:t>
      </w:r>
    </w:p>
    <w:p>
      <w:pPr>
        <w:adjustRightInd w:val="0"/>
        <w:snapToGrid w:val="0"/>
        <w:ind w:firstLine="420" w:firstLineChars="200"/>
        <w:rPr>
          <w:szCs w:val="21"/>
        </w:rPr>
      </w:pPr>
      <w:bookmarkStart w:id="46" w:name="_Toc305"/>
      <w:bookmarkStart w:id="47" w:name="_Toc30845"/>
      <w:bookmarkStart w:id="48" w:name="_Toc16229"/>
      <w:r>
        <w:rPr>
          <w:szCs w:val="21"/>
        </w:rPr>
        <w:t>3</w:t>
      </w:r>
      <w:r>
        <w:rPr>
          <w:rFonts w:hint="eastAsia"/>
          <w:szCs w:val="21"/>
        </w:rPr>
        <w:t>.</w:t>
      </w:r>
      <w:r>
        <w:rPr>
          <w:szCs w:val="21"/>
        </w:rPr>
        <w:t>3</w:t>
      </w:r>
      <w:r>
        <w:rPr>
          <w:rFonts w:hint="eastAsia"/>
          <w:szCs w:val="21"/>
        </w:rPr>
        <w:t>.</w:t>
      </w:r>
      <w:r>
        <w:rPr>
          <w:szCs w:val="21"/>
        </w:rPr>
        <w:t>1</w:t>
      </w:r>
      <w:r>
        <w:rPr>
          <w:rFonts w:hint="eastAsia"/>
          <w:szCs w:val="21"/>
        </w:rPr>
        <w:t>.</w:t>
      </w:r>
      <w:r>
        <w:rPr>
          <w:szCs w:val="21"/>
        </w:rPr>
        <w:t xml:space="preserve">4  </w:t>
      </w:r>
      <w:r>
        <w:rPr>
          <w:rFonts w:hint="eastAsia"/>
          <w:szCs w:val="21"/>
        </w:rPr>
        <w:t>成型</w:t>
      </w:r>
      <w:bookmarkEnd w:id="46"/>
      <w:bookmarkEnd w:id="47"/>
      <w:bookmarkEnd w:id="48"/>
    </w:p>
    <w:p>
      <w:pPr>
        <w:adjustRightInd w:val="0"/>
        <w:snapToGrid w:val="0"/>
        <w:ind w:firstLine="420" w:firstLineChars="200"/>
        <w:rPr>
          <w:szCs w:val="21"/>
        </w:rPr>
      </w:pPr>
      <w:r>
        <w:rPr>
          <w:rFonts w:hint="eastAsia"/>
          <w:szCs w:val="21"/>
        </w:rPr>
        <w:t>（1）应制定聚乙烯渔船成型、冷却和脱模程序。</w:t>
      </w:r>
    </w:p>
    <w:p>
      <w:pPr>
        <w:adjustRightInd w:val="0"/>
        <w:snapToGrid w:val="0"/>
        <w:ind w:firstLine="420" w:firstLineChars="200"/>
        <w:rPr>
          <w:szCs w:val="21"/>
        </w:rPr>
      </w:pPr>
      <w:r>
        <w:rPr>
          <w:rFonts w:hint="eastAsia"/>
          <w:szCs w:val="21"/>
        </w:rPr>
        <w:t>（2）脱模时应避免发生对船壳有害的永久性变形和损伤，脱模后应大面积支承船壳使之受力均匀。</w:t>
      </w:r>
    </w:p>
    <w:p>
      <w:pPr>
        <w:adjustRightInd w:val="0"/>
        <w:snapToGrid w:val="0"/>
        <w:ind w:firstLine="420" w:firstLineChars="200"/>
        <w:rPr>
          <w:szCs w:val="21"/>
        </w:rPr>
      </w:pPr>
      <w:r>
        <w:rPr>
          <w:rFonts w:hint="eastAsia"/>
          <w:szCs w:val="21"/>
        </w:rPr>
        <w:t>（3）成型施工时，应对每艘船舶记录下列工序的数据：</w:t>
      </w:r>
    </w:p>
    <w:p>
      <w:pPr>
        <w:ind w:left="1260" w:leftChars="400" w:hanging="420" w:hangingChars="200"/>
        <w:rPr>
          <w:rFonts w:ascii="宋体" w:hAnsi="宋体" w:cs="宋体"/>
          <w:color w:val="000000"/>
          <w:szCs w:val="21"/>
          <w:lang w:bidi="ar"/>
        </w:rPr>
      </w:pPr>
      <w:r>
        <w:rPr>
          <w:rFonts w:hint="eastAsia" w:ascii="宋体" w:hAnsi="宋体" w:cs="宋体"/>
          <w:color w:val="000000"/>
          <w:szCs w:val="21"/>
          <w:lang w:bidi="ar"/>
        </w:rPr>
        <w:t>① 粉料的重量；</w:t>
      </w:r>
    </w:p>
    <w:p>
      <w:pPr>
        <w:ind w:left="1260" w:leftChars="400" w:hanging="420" w:hangingChars="200"/>
        <w:rPr>
          <w:rFonts w:ascii="宋体" w:hAnsi="宋体" w:cs="宋体"/>
          <w:color w:val="000000"/>
          <w:szCs w:val="21"/>
          <w:lang w:bidi="ar"/>
        </w:rPr>
      </w:pPr>
      <w:r>
        <w:rPr>
          <w:rFonts w:hint="eastAsia" w:ascii="宋体" w:hAnsi="宋体" w:cs="宋体"/>
          <w:color w:val="000000"/>
          <w:szCs w:val="21"/>
          <w:lang w:bidi="ar"/>
        </w:rPr>
        <w:t>② 成型温度；</w:t>
      </w:r>
    </w:p>
    <w:p>
      <w:pPr>
        <w:ind w:left="1260" w:leftChars="400" w:hanging="420" w:hangingChars="200"/>
        <w:rPr>
          <w:rFonts w:ascii="宋体" w:hAnsi="宋体" w:cs="宋体"/>
          <w:color w:val="000000"/>
          <w:szCs w:val="21"/>
          <w:lang w:bidi="ar"/>
        </w:rPr>
      </w:pPr>
      <w:r>
        <w:rPr>
          <w:rFonts w:hint="eastAsia" w:ascii="宋体" w:hAnsi="宋体" w:cs="宋体"/>
          <w:color w:val="000000"/>
          <w:szCs w:val="21"/>
          <w:lang w:bidi="ar"/>
        </w:rPr>
        <w:t>③ 熔结时间；</w:t>
      </w:r>
    </w:p>
    <w:p>
      <w:pPr>
        <w:ind w:left="1260" w:leftChars="400" w:hanging="420" w:hangingChars="200"/>
        <w:rPr>
          <w:rFonts w:ascii="宋体" w:hAnsi="宋体" w:cs="宋体"/>
          <w:color w:val="000000"/>
          <w:szCs w:val="21"/>
          <w:lang w:bidi="ar"/>
        </w:rPr>
      </w:pPr>
      <w:r>
        <w:rPr>
          <w:rFonts w:hint="eastAsia" w:ascii="宋体" w:hAnsi="宋体" w:cs="宋体"/>
          <w:color w:val="000000"/>
          <w:szCs w:val="21"/>
          <w:lang w:bidi="ar"/>
        </w:rPr>
        <w:t>④ 冷却时间。</w:t>
      </w:r>
    </w:p>
    <w:p>
      <w:pPr>
        <w:adjustRightInd w:val="0"/>
        <w:snapToGrid w:val="0"/>
        <w:ind w:firstLine="420" w:firstLineChars="200"/>
        <w:rPr>
          <w:szCs w:val="21"/>
        </w:rPr>
      </w:pPr>
      <w:r>
        <w:rPr>
          <w:rFonts w:hint="eastAsia"/>
          <w:szCs w:val="21"/>
        </w:rPr>
        <w:t>（4）温度</w:t>
      </w:r>
      <w:r>
        <w:rPr>
          <w:szCs w:val="21"/>
        </w:rPr>
        <w:t>需要自动化控制</w:t>
      </w:r>
      <w:r>
        <w:rPr>
          <w:rFonts w:hint="eastAsia"/>
          <w:szCs w:val="21"/>
        </w:rPr>
        <w:t>，在每次</w:t>
      </w:r>
      <w:r>
        <w:rPr>
          <w:szCs w:val="21"/>
        </w:rPr>
        <w:t>滚塑</w:t>
      </w:r>
      <w:r>
        <w:rPr>
          <w:rFonts w:hint="eastAsia"/>
          <w:szCs w:val="21"/>
        </w:rPr>
        <w:t>过程</w:t>
      </w:r>
      <w:r>
        <w:rPr>
          <w:szCs w:val="21"/>
        </w:rPr>
        <w:t>中，每个测</w:t>
      </w:r>
      <w:r>
        <w:rPr>
          <w:rFonts w:hint="eastAsia"/>
          <w:szCs w:val="21"/>
        </w:rPr>
        <w:t>温</w:t>
      </w:r>
      <w:r>
        <w:rPr>
          <w:szCs w:val="21"/>
        </w:rPr>
        <w:t>点的温度</w:t>
      </w:r>
      <w:r>
        <w:rPr>
          <w:rFonts w:hint="eastAsia"/>
          <w:szCs w:val="21"/>
        </w:rPr>
        <w:t>变化</w:t>
      </w:r>
      <w:r>
        <w:rPr>
          <w:szCs w:val="21"/>
        </w:rPr>
        <w:t>不得超过</w:t>
      </w:r>
      <w:r>
        <w:rPr>
          <w:rFonts w:hint="eastAsia"/>
          <w:szCs w:val="21"/>
        </w:rPr>
        <w:t>±5℃</w:t>
      </w:r>
      <w:r>
        <w:rPr>
          <w:szCs w:val="21"/>
        </w:rPr>
        <w:t>。</w:t>
      </w:r>
      <w:r>
        <w:rPr>
          <w:rFonts w:hint="eastAsia"/>
          <w:szCs w:val="21"/>
        </w:rPr>
        <w:t>测温点</w:t>
      </w:r>
      <w:r>
        <w:rPr>
          <w:szCs w:val="21"/>
        </w:rPr>
        <w:t>的要求如下：</w:t>
      </w:r>
    </w:p>
    <w:p>
      <w:pPr>
        <w:adjustRightInd w:val="0"/>
        <w:snapToGrid w:val="0"/>
        <w:ind w:left="1155" w:leftChars="400" w:hanging="315" w:hangingChars="150"/>
        <w:rPr>
          <w:szCs w:val="21"/>
        </w:rPr>
      </w:pPr>
      <w:r>
        <w:rPr>
          <w:rFonts w:hint="eastAsia"/>
          <w:szCs w:val="21"/>
        </w:rPr>
        <w:t>① 采用</w:t>
      </w:r>
      <w:r>
        <w:rPr>
          <w:szCs w:val="21"/>
        </w:rPr>
        <w:t>火焰</w:t>
      </w:r>
      <w:r>
        <w:rPr>
          <w:rFonts w:hint="eastAsia"/>
          <w:szCs w:val="21"/>
        </w:rPr>
        <w:t>加热</w:t>
      </w:r>
      <w:r>
        <w:rPr>
          <w:szCs w:val="21"/>
        </w:rPr>
        <w:t>成型</w:t>
      </w:r>
      <w:r>
        <w:rPr>
          <w:rFonts w:hint="eastAsia"/>
          <w:szCs w:val="21"/>
        </w:rPr>
        <w:t>的，</w:t>
      </w:r>
      <w:r>
        <w:rPr>
          <w:szCs w:val="21"/>
        </w:rPr>
        <w:t>应至少设置</w:t>
      </w:r>
      <w:r>
        <w:rPr>
          <w:rFonts w:hint="eastAsia"/>
          <w:szCs w:val="21"/>
        </w:rPr>
        <w:t>4个</w:t>
      </w:r>
      <w:r>
        <w:rPr>
          <w:szCs w:val="21"/>
        </w:rPr>
        <w:t>测温点，测温点设置在旋转架上所对应的成</w:t>
      </w:r>
      <w:r>
        <w:rPr>
          <w:rFonts w:hint="eastAsia"/>
          <w:szCs w:val="21"/>
        </w:rPr>
        <w:t>型</w:t>
      </w:r>
      <w:r>
        <w:rPr>
          <w:szCs w:val="21"/>
        </w:rPr>
        <w:t>模具的首尾和左右舷</w:t>
      </w:r>
      <w:r>
        <w:rPr>
          <w:rFonts w:hint="eastAsia"/>
          <w:szCs w:val="21"/>
        </w:rPr>
        <w:t>；</w:t>
      </w:r>
    </w:p>
    <w:p>
      <w:pPr>
        <w:adjustRightInd w:val="0"/>
        <w:snapToGrid w:val="0"/>
        <w:ind w:left="1155" w:leftChars="400" w:hanging="315" w:hangingChars="150"/>
        <w:rPr>
          <w:rFonts w:ascii="宋体" w:hAnsi="宋体" w:cs="宋体" w:eastAsiaTheme="minorEastAsia"/>
          <w:szCs w:val="21"/>
        </w:rPr>
      </w:pPr>
      <w:r>
        <w:rPr>
          <w:rFonts w:hint="eastAsia" w:ascii="宋体" w:hAnsi="宋体" w:cs="宋体"/>
          <w:szCs w:val="21"/>
          <w:lang w:eastAsia="ja-JP"/>
        </w:rPr>
        <w:t>②</w:t>
      </w:r>
      <w:r>
        <w:rPr>
          <w:rFonts w:hint="eastAsia" w:ascii="宋体" w:hAnsi="宋体" w:cs="宋体" w:eastAsiaTheme="minorEastAsia"/>
          <w:szCs w:val="21"/>
        </w:rPr>
        <w:t xml:space="preserve"> 采用</w:t>
      </w:r>
      <w:r>
        <w:rPr>
          <w:rFonts w:ascii="宋体" w:hAnsi="宋体" w:cs="宋体" w:eastAsiaTheme="minorEastAsia"/>
          <w:szCs w:val="21"/>
        </w:rPr>
        <w:t>热空气</w:t>
      </w:r>
      <w:r>
        <w:rPr>
          <w:rFonts w:hint="eastAsia" w:ascii="宋体" w:hAnsi="宋体" w:cs="宋体" w:eastAsiaTheme="minorEastAsia"/>
          <w:szCs w:val="21"/>
        </w:rPr>
        <w:t>循环</w:t>
      </w:r>
      <w:r>
        <w:rPr>
          <w:rFonts w:ascii="宋体" w:hAnsi="宋体" w:cs="宋体" w:eastAsiaTheme="minorEastAsia"/>
          <w:szCs w:val="21"/>
        </w:rPr>
        <w:t>加热成型的，应在循环箱内至少对应设置</w:t>
      </w:r>
      <w:r>
        <w:rPr>
          <w:rFonts w:hint="eastAsia" w:ascii="宋体" w:hAnsi="宋体" w:cs="宋体" w:eastAsiaTheme="minorEastAsia"/>
          <w:szCs w:val="21"/>
        </w:rPr>
        <w:t>2个</w:t>
      </w:r>
      <w:r>
        <w:rPr>
          <w:rFonts w:ascii="宋体" w:hAnsi="宋体" w:cs="宋体" w:eastAsiaTheme="minorEastAsia"/>
          <w:szCs w:val="21"/>
        </w:rPr>
        <w:t>测温点。</w:t>
      </w:r>
    </w:p>
    <w:p>
      <w:pPr>
        <w:adjustRightInd w:val="0"/>
        <w:snapToGrid w:val="0"/>
        <w:ind w:firstLine="420" w:firstLineChars="200"/>
        <w:rPr>
          <w:szCs w:val="21"/>
        </w:rPr>
      </w:pPr>
      <w:r>
        <w:rPr>
          <w:rFonts w:hint="eastAsia"/>
          <w:szCs w:val="21"/>
        </w:rPr>
        <w:t>（</w:t>
      </w:r>
      <w:r>
        <w:rPr>
          <w:szCs w:val="21"/>
        </w:rPr>
        <w:t>5</w:t>
      </w:r>
      <w:r>
        <w:rPr>
          <w:rFonts w:hint="eastAsia"/>
          <w:szCs w:val="21"/>
        </w:rPr>
        <w:t>）</w:t>
      </w:r>
      <w:r>
        <w:rPr>
          <w:rFonts w:hint="eastAsia"/>
          <w:bCs/>
          <w:szCs w:val="21"/>
        </w:rPr>
        <w:t>滚塑中用到的粉末原料质量</w:t>
      </w:r>
      <w:r>
        <w:rPr>
          <w:bCs/>
          <w:szCs w:val="21"/>
        </w:rPr>
        <w:t>与</w:t>
      </w:r>
      <w:r>
        <w:rPr>
          <w:rFonts w:hint="eastAsia"/>
          <w:bCs/>
          <w:szCs w:val="21"/>
        </w:rPr>
        <w:t>规定质量的偏差</w:t>
      </w:r>
      <w:r>
        <w:rPr>
          <w:bCs/>
          <w:szCs w:val="21"/>
        </w:rPr>
        <w:t>不得</w:t>
      </w:r>
      <w:r>
        <w:rPr>
          <w:rFonts w:hint="eastAsia"/>
          <w:bCs/>
          <w:szCs w:val="21"/>
        </w:rPr>
        <w:t>大于1%。</w:t>
      </w:r>
    </w:p>
    <w:p>
      <w:pPr>
        <w:adjustRightInd w:val="0"/>
        <w:snapToGrid w:val="0"/>
        <w:ind w:firstLine="420" w:firstLineChars="200"/>
        <w:rPr>
          <w:szCs w:val="21"/>
        </w:rPr>
      </w:pPr>
      <w:bookmarkStart w:id="49" w:name="_Toc23223"/>
      <w:bookmarkStart w:id="50" w:name="_Toc18080"/>
      <w:bookmarkStart w:id="51" w:name="_Toc30661"/>
      <w:r>
        <w:rPr>
          <w:szCs w:val="21"/>
        </w:rPr>
        <w:t>3</w:t>
      </w:r>
      <w:r>
        <w:rPr>
          <w:rFonts w:hint="eastAsia"/>
          <w:szCs w:val="21"/>
        </w:rPr>
        <w:t>.</w:t>
      </w:r>
      <w:r>
        <w:rPr>
          <w:szCs w:val="21"/>
        </w:rPr>
        <w:t>3</w:t>
      </w:r>
      <w:r>
        <w:rPr>
          <w:rFonts w:hint="eastAsia"/>
          <w:szCs w:val="21"/>
        </w:rPr>
        <w:t>.</w:t>
      </w:r>
      <w:r>
        <w:rPr>
          <w:szCs w:val="21"/>
        </w:rPr>
        <w:t>1</w:t>
      </w:r>
      <w:r>
        <w:rPr>
          <w:rFonts w:hint="eastAsia"/>
          <w:szCs w:val="21"/>
        </w:rPr>
        <w:t>.</w:t>
      </w:r>
      <w:r>
        <w:rPr>
          <w:szCs w:val="21"/>
        </w:rPr>
        <w:t xml:space="preserve">5  </w:t>
      </w:r>
      <w:r>
        <w:rPr>
          <w:rFonts w:hint="eastAsia"/>
          <w:szCs w:val="21"/>
        </w:rPr>
        <w:t>成型后</w:t>
      </w:r>
      <w:bookmarkEnd w:id="49"/>
      <w:bookmarkEnd w:id="50"/>
      <w:bookmarkEnd w:id="51"/>
    </w:p>
    <w:p>
      <w:pPr>
        <w:adjustRightInd w:val="0"/>
        <w:snapToGrid w:val="0"/>
        <w:ind w:firstLine="420" w:firstLineChars="200"/>
        <w:rPr>
          <w:szCs w:val="21"/>
        </w:rPr>
      </w:pPr>
      <w:r>
        <w:rPr>
          <w:rFonts w:hint="eastAsia"/>
          <w:szCs w:val="21"/>
        </w:rPr>
        <w:t>（1）脱模后对船体进行外表检查，检查由于脱模或未完成固化而造成的缺陷和受损部位，凡损伤部位应予修复，若损伤深度超过船壳板厚度的15%，应提交修复工艺。</w:t>
      </w:r>
    </w:p>
    <w:p>
      <w:pPr>
        <w:adjustRightInd w:val="0"/>
        <w:snapToGrid w:val="0"/>
        <w:ind w:firstLine="420" w:firstLineChars="200"/>
        <w:rPr>
          <w:szCs w:val="21"/>
        </w:rPr>
      </w:pPr>
      <w:r>
        <w:rPr>
          <w:rFonts w:hint="eastAsia"/>
          <w:szCs w:val="21"/>
        </w:rPr>
        <w:t>（2）对完成后的船体进行结构完整性检查。</w:t>
      </w:r>
    </w:p>
    <w:p>
      <w:pPr>
        <w:adjustRightInd w:val="0"/>
        <w:snapToGrid w:val="0"/>
        <w:ind w:firstLine="420" w:firstLineChars="200"/>
        <w:rPr>
          <w:szCs w:val="21"/>
        </w:rPr>
      </w:pPr>
      <w:r>
        <w:rPr>
          <w:rFonts w:hint="eastAsia"/>
          <w:szCs w:val="21"/>
        </w:rPr>
        <w:t>（3）成型后的聚乙烯渔船的尺寸和型线与设计图纸的差别应不超过3%。</w:t>
      </w:r>
    </w:p>
    <w:p>
      <w:pPr>
        <w:adjustRightInd w:val="0"/>
        <w:snapToGrid w:val="0"/>
        <w:ind w:firstLine="420" w:firstLineChars="200"/>
        <w:jc w:val="left"/>
        <w:rPr>
          <w:szCs w:val="21"/>
        </w:rPr>
      </w:pPr>
      <w:r>
        <w:rPr>
          <w:rFonts w:hint="eastAsia"/>
          <w:szCs w:val="21"/>
        </w:rPr>
        <w:t>（4）细孔和气泡的数目或大小应不致明显地降低材料的性能，气泡直径应不大于0.5mm。</w:t>
      </w:r>
    </w:p>
    <w:p>
      <w:pPr>
        <w:adjustRightInd w:val="0"/>
        <w:snapToGrid w:val="0"/>
        <w:ind w:firstLine="420" w:firstLineChars="200"/>
        <w:rPr>
          <w:szCs w:val="21"/>
        </w:rPr>
      </w:pPr>
      <w:r>
        <w:rPr>
          <w:rFonts w:hint="eastAsia"/>
          <w:szCs w:val="21"/>
        </w:rPr>
        <w:t>（5）已完成的船体的外表面和截面上既不应有粉粒不完全溶合的痕迹，也不应有材料热退化的痕迹。</w:t>
      </w:r>
    </w:p>
    <w:p>
      <w:pPr>
        <w:adjustRightInd w:val="0"/>
        <w:snapToGrid w:val="0"/>
        <w:ind w:firstLine="422" w:firstLineChars="200"/>
        <w:jc w:val="left"/>
        <w:rPr>
          <w:b/>
        </w:rPr>
      </w:pPr>
    </w:p>
    <w:p>
      <w:pPr>
        <w:adjustRightInd w:val="0"/>
        <w:snapToGrid w:val="0"/>
        <w:ind w:firstLine="422" w:firstLineChars="200"/>
        <w:rPr>
          <w:b/>
        </w:rPr>
      </w:pPr>
      <w:r>
        <w:rPr>
          <w:rFonts w:hint="eastAsia"/>
          <w:b/>
        </w:rPr>
        <w:t>3.</w:t>
      </w:r>
      <w:r>
        <w:rPr>
          <w:b/>
        </w:rPr>
        <w:t>3</w:t>
      </w:r>
      <w:r>
        <w:rPr>
          <w:rFonts w:hint="eastAsia"/>
          <w:b/>
        </w:rPr>
        <w:t>.</w:t>
      </w:r>
      <w:r>
        <w:rPr>
          <w:b/>
        </w:rPr>
        <w:t>2</w:t>
      </w:r>
      <w:r>
        <w:rPr>
          <w:rFonts w:hint="eastAsia"/>
          <w:b/>
        </w:rPr>
        <w:t xml:space="preserve">  焊接工艺</w:t>
      </w:r>
    </w:p>
    <w:p>
      <w:pPr>
        <w:adjustRightInd w:val="0"/>
        <w:snapToGrid w:val="0"/>
        <w:ind w:firstLine="420" w:firstLineChars="200"/>
        <w:rPr>
          <w:szCs w:val="21"/>
        </w:rPr>
      </w:pPr>
      <w:r>
        <w:rPr>
          <w:szCs w:val="21"/>
        </w:rPr>
        <w:t xml:space="preserve">3.3.2.1  </w:t>
      </w:r>
      <w:r>
        <w:rPr>
          <w:rFonts w:hint="eastAsia"/>
          <w:szCs w:val="21"/>
        </w:rPr>
        <w:t>焊接材料要求</w:t>
      </w:r>
    </w:p>
    <w:p>
      <w:pPr>
        <w:adjustRightInd w:val="0"/>
        <w:snapToGrid w:val="0"/>
        <w:ind w:firstLine="420" w:firstLineChars="200"/>
        <w:rPr>
          <w:szCs w:val="21"/>
        </w:rPr>
      </w:pPr>
      <w:r>
        <w:rPr>
          <w:rFonts w:hint="eastAsia"/>
          <w:szCs w:val="21"/>
        </w:rPr>
        <w:t>（1）焊条应与被焊接材料成分相同。</w:t>
      </w:r>
    </w:p>
    <w:p>
      <w:pPr>
        <w:adjustRightInd w:val="0"/>
        <w:snapToGrid w:val="0"/>
        <w:ind w:firstLine="420" w:firstLineChars="200"/>
        <w:rPr>
          <w:szCs w:val="21"/>
        </w:rPr>
      </w:pPr>
      <w:r>
        <w:rPr>
          <w:rFonts w:hint="eastAsia"/>
          <w:szCs w:val="21"/>
        </w:rPr>
        <w:t>（2）焊条必须保证干燥，在焊接前，焊条应在</w:t>
      </w:r>
      <w:r>
        <w:rPr>
          <w:szCs w:val="21"/>
        </w:rPr>
        <w:t>60</w:t>
      </w:r>
      <w:r>
        <w:rPr>
          <w:rFonts w:hint="eastAsia"/>
          <w:szCs w:val="21"/>
        </w:rPr>
        <w:t>℃</w:t>
      </w:r>
      <w:r>
        <w:rPr>
          <w:szCs w:val="21"/>
        </w:rPr>
        <w:t>~80</w:t>
      </w:r>
      <w:r>
        <w:rPr>
          <w:rFonts w:hint="eastAsia"/>
          <w:szCs w:val="21"/>
        </w:rPr>
        <w:t>℃条件下至少烘干</w:t>
      </w:r>
      <w:r>
        <w:rPr>
          <w:szCs w:val="21"/>
        </w:rPr>
        <w:t>12h</w:t>
      </w:r>
      <w:r>
        <w:rPr>
          <w:rFonts w:hint="eastAsia"/>
          <w:szCs w:val="21"/>
        </w:rPr>
        <w:t>。</w:t>
      </w:r>
    </w:p>
    <w:p>
      <w:pPr>
        <w:adjustRightInd w:val="0"/>
        <w:snapToGrid w:val="0"/>
        <w:ind w:firstLine="420" w:firstLineChars="200"/>
        <w:rPr>
          <w:szCs w:val="21"/>
        </w:rPr>
      </w:pPr>
      <w:r>
        <w:rPr>
          <w:rFonts w:hint="eastAsia"/>
          <w:szCs w:val="21"/>
        </w:rPr>
        <w:t>（3）焊接后焊缝</w:t>
      </w:r>
      <w:r>
        <w:rPr>
          <w:szCs w:val="21"/>
        </w:rPr>
        <w:t>的</w:t>
      </w:r>
      <w:r>
        <w:rPr>
          <w:rFonts w:hint="eastAsia"/>
          <w:szCs w:val="21"/>
        </w:rPr>
        <w:t>拉伸</w:t>
      </w:r>
      <w:r>
        <w:rPr>
          <w:szCs w:val="21"/>
        </w:rPr>
        <w:t>屈服</w:t>
      </w:r>
      <w:r>
        <w:rPr>
          <w:rFonts w:hint="eastAsia"/>
          <w:szCs w:val="21"/>
        </w:rPr>
        <w:t>强度</w:t>
      </w:r>
      <w:r>
        <w:rPr>
          <w:szCs w:val="21"/>
        </w:rPr>
        <w:t>和</w:t>
      </w:r>
      <w:r>
        <w:rPr>
          <w:rFonts w:hint="eastAsia"/>
          <w:szCs w:val="21"/>
        </w:rPr>
        <w:t>弯曲</w:t>
      </w:r>
      <w:r>
        <w:rPr>
          <w:szCs w:val="21"/>
        </w:rPr>
        <w:t>强度</w:t>
      </w:r>
      <w:r>
        <w:rPr>
          <w:rFonts w:hint="eastAsia"/>
          <w:szCs w:val="21"/>
        </w:rPr>
        <w:t>应达到</w:t>
      </w:r>
      <w:r>
        <w:rPr>
          <w:szCs w:val="21"/>
        </w:rPr>
        <w:t>板材</w:t>
      </w:r>
      <w:r>
        <w:rPr>
          <w:rFonts w:hint="eastAsia"/>
          <w:szCs w:val="21"/>
        </w:rPr>
        <w:t>性能</w:t>
      </w:r>
      <w:r>
        <w:rPr>
          <w:szCs w:val="21"/>
        </w:rPr>
        <w:t>指标</w:t>
      </w:r>
      <w:r>
        <w:rPr>
          <w:rFonts w:hint="eastAsia"/>
          <w:szCs w:val="21"/>
        </w:rPr>
        <w:t>强度</w:t>
      </w:r>
      <w:r>
        <w:rPr>
          <w:szCs w:val="21"/>
        </w:rPr>
        <w:t>。</w:t>
      </w:r>
    </w:p>
    <w:p>
      <w:pPr>
        <w:adjustRightInd w:val="0"/>
        <w:snapToGrid w:val="0"/>
        <w:ind w:firstLine="420" w:firstLineChars="200"/>
        <w:rPr>
          <w:szCs w:val="21"/>
        </w:rPr>
      </w:pPr>
      <w:r>
        <w:rPr>
          <w:szCs w:val="21"/>
        </w:rPr>
        <w:t xml:space="preserve">3.3.2.2  </w:t>
      </w:r>
      <w:r>
        <w:rPr>
          <w:rFonts w:hint="eastAsia"/>
          <w:szCs w:val="21"/>
        </w:rPr>
        <w:t>焊接设备要求</w:t>
      </w:r>
    </w:p>
    <w:p>
      <w:pPr>
        <w:adjustRightInd w:val="0"/>
        <w:snapToGrid w:val="0"/>
        <w:ind w:firstLine="420" w:firstLineChars="200"/>
        <w:jc w:val="left"/>
        <w:rPr>
          <w:szCs w:val="21"/>
        </w:rPr>
      </w:pPr>
      <w:r>
        <w:rPr>
          <w:rFonts w:hint="eastAsia"/>
          <w:szCs w:val="21"/>
        </w:rPr>
        <w:t>（1）聚乙烯渔船结构的焊接必须采用热气</w:t>
      </w:r>
      <w:r>
        <w:rPr>
          <w:szCs w:val="21"/>
        </w:rPr>
        <w:t>+</w:t>
      </w:r>
      <w:r>
        <w:rPr>
          <w:rFonts w:hint="eastAsia"/>
          <w:szCs w:val="21"/>
        </w:rPr>
        <w:t>螺杆挤出焊接的方式，以确保焊条塑化完全。</w:t>
      </w:r>
    </w:p>
    <w:p>
      <w:pPr>
        <w:adjustRightInd w:val="0"/>
        <w:snapToGrid w:val="0"/>
        <w:ind w:firstLine="420" w:firstLineChars="200"/>
        <w:rPr>
          <w:szCs w:val="21"/>
        </w:rPr>
      </w:pPr>
      <w:r>
        <w:rPr>
          <w:rFonts w:hint="eastAsia"/>
          <w:szCs w:val="21"/>
        </w:rPr>
        <w:t>（2）焊靴的材料须采用不与焊接材料粘连的、表面光滑的、不导热的材料。</w:t>
      </w:r>
    </w:p>
    <w:p>
      <w:pPr>
        <w:adjustRightInd w:val="0"/>
        <w:snapToGrid w:val="0"/>
        <w:ind w:firstLine="420" w:firstLineChars="200"/>
        <w:rPr>
          <w:szCs w:val="21"/>
        </w:rPr>
      </w:pPr>
      <w:r>
        <w:rPr>
          <w:szCs w:val="21"/>
        </w:rPr>
        <w:t xml:space="preserve">3.3.2.3  </w:t>
      </w:r>
      <w:r>
        <w:rPr>
          <w:rFonts w:hint="eastAsia"/>
          <w:szCs w:val="21"/>
        </w:rPr>
        <w:t>焊接环境要求</w:t>
      </w:r>
    </w:p>
    <w:p>
      <w:pPr>
        <w:adjustRightInd w:val="0"/>
        <w:snapToGrid w:val="0"/>
        <w:ind w:firstLine="420" w:firstLineChars="200"/>
        <w:rPr>
          <w:szCs w:val="21"/>
        </w:rPr>
      </w:pPr>
      <w:r>
        <w:rPr>
          <w:rFonts w:hint="eastAsia"/>
          <w:szCs w:val="21"/>
        </w:rPr>
        <w:t>（1）焊接操作应在通风良好的厂房内进行，厂房环境温度应高于</w:t>
      </w:r>
      <w:r>
        <w:rPr>
          <w:szCs w:val="21"/>
        </w:rPr>
        <w:t>5</w:t>
      </w:r>
      <w:r>
        <w:rPr>
          <w:rFonts w:hint="eastAsia"/>
          <w:szCs w:val="21"/>
        </w:rPr>
        <w:t>℃。</w:t>
      </w:r>
    </w:p>
    <w:p>
      <w:pPr>
        <w:adjustRightInd w:val="0"/>
        <w:snapToGrid w:val="0"/>
        <w:ind w:firstLine="420" w:firstLineChars="200"/>
        <w:rPr>
          <w:szCs w:val="21"/>
        </w:rPr>
      </w:pPr>
      <w:r>
        <w:rPr>
          <w:szCs w:val="21"/>
        </w:rPr>
        <w:t xml:space="preserve">3.3.2.4  </w:t>
      </w:r>
      <w:r>
        <w:rPr>
          <w:rFonts w:hint="eastAsia"/>
          <w:szCs w:val="21"/>
        </w:rPr>
        <w:t>焊缝要求</w:t>
      </w:r>
    </w:p>
    <w:p>
      <w:pPr>
        <w:adjustRightInd w:val="0"/>
        <w:snapToGrid w:val="0"/>
        <w:ind w:firstLine="420" w:firstLineChars="200"/>
        <w:rPr>
          <w:szCs w:val="21"/>
        </w:rPr>
      </w:pPr>
      <w:r>
        <w:rPr>
          <w:rFonts w:hint="eastAsia"/>
          <w:szCs w:val="21"/>
        </w:rPr>
        <w:t>（1）船体焊缝均应采用双面焊接，焊接坡口的角度应不小于</w:t>
      </w:r>
      <w:r>
        <w:rPr>
          <w:szCs w:val="21"/>
        </w:rPr>
        <w:t>45°</w:t>
      </w:r>
      <w:r>
        <w:rPr>
          <w:rFonts w:hint="eastAsia"/>
          <w:szCs w:val="21"/>
        </w:rPr>
        <w:t>。</w:t>
      </w:r>
    </w:p>
    <w:p>
      <w:pPr>
        <w:adjustRightInd w:val="0"/>
        <w:snapToGrid w:val="0"/>
        <w:ind w:firstLine="420" w:firstLineChars="200"/>
        <w:jc w:val="left"/>
        <w:rPr>
          <w:szCs w:val="21"/>
        </w:rPr>
      </w:pPr>
      <w:r>
        <w:rPr>
          <w:rFonts w:hint="eastAsia"/>
          <w:szCs w:val="21"/>
        </w:rPr>
        <w:t>（2）焊接前根据施焊部位的结构形式，在被焊件上开坡口，被焊件间隙δ应在0.4</w:t>
      </w:r>
      <w:r>
        <w:rPr>
          <w:szCs w:val="21"/>
        </w:rPr>
        <w:t>-1.5mm</w:t>
      </w:r>
      <w:r>
        <w:rPr>
          <w:rFonts w:hint="eastAsia"/>
          <w:szCs w:val="21"/>
        </w:rPr>
        <w:t>的范围内。</w:t>
      </w:r>
    </w:p>
    <w:p>
      <w:pPr>
        <w:adjustRightInd w:val="0"/>
        <w:snapToGrid w:val="0"/>
        <w:ind w:firstLine="420" w:firstLineChars="200"/>
        <w:rPr>
          <w:szCs w:val="21"/>
        </w:rPr>
      </w:pPr>
      <w:r>
        <w:rPr>
          <w:rFonts w:hint="eastAsia"/>
          <w:szCs w:val="21"/>
        </w:rPr>
        <w:t>（3）不同厚度的板对接时，其厚度差不小于</w:t>
      </w:r>
      <w:r>
        <w:rPr>
          <w:szCs w:val="21"/>
        </w:rPr>
        <w:t>4mm</w:t>
      </w:r>
      <w:r>
        <w:rPr>
          <w:rFonts w:hint="eastAsia"/>
          <w:szCs w:val="21"/>
        </w:rPr>
        <w:t>时应将厚板的边缘削斜，使其均匀过渡。削斜的宽度应不小于厚度差的</w:t>
      </w:r>
      <w:r>
        <w:rPr>
          <w:szCs w:val="21"/>
        </w:rPr>
        <w:t>4</w:t>
      </w:r>
      <w:r>
        <w:rPr>
          <w:rFonts w:hint="eastAsia"/>
          <w:szCs w:val="21"/>
        </w:rPr>
        <w:t>倍。若其厚度差小于</w:t>
      </w:r>
      <w:r>
        <w:rPr>
          <w:szCs w:val="21"/>
        </w:rPr>
        <w:t>4mm</w:t>
      </w:r>
      <w:r>
        <w:rPr>
          <w:rFonts w:hint="eastAsia"/>
          <w:szCs w:val="21"/>
        </w:rPr>
        <w:t>时，可在焊缝宽度内，使焊缝的外形均匀过渡。</w:t>
      </w:r>
    </w:p>
    <w:p>
      <w:pPr>
        <w:adjustRightInd w:val="0"/>
        <w:snapToGrid w:val="0"/>
        <w:ind w:firstLine="420" w:firstLineChars="200"/>
        <w:rPr>
          <w:szCs w:val="21"/>
        </w:rPr>
      </w:pPr>
      <w:r>
        <w:rPr>
          <w:rFonts w:hint="eastAsia"/>
          <w:szCs w:val="21"/>
        </w:rPr>
        <w:t>（4）若必须采用搭接焊缝时，两板的搭接宽度应为较薄板厚度的</w:t>
      </w:r>
      <w:r>
        <w:rPr>
          <w:szCs w:val="21"/>
        </w:rPr>
        <w:t>3</w:t>
      </w:r>
      <w:r>
        <w:rPr>
          <w:rFonts w:hint="eastAsia"/>
          <w:szCs w:val="21"/>
        </w:rPr>
        <w:t>到</w:t>
      </w:r>
      <w:r>
        <w:rPr>
          <w:szCs w:val="21"/>
        </w:rPr>
        <w:t>4</w:t>
      </w:r>
      <w:r>
        <w:rPr>
          <w:rFonts w:hint="eastAsia"/>
          <w:szCs w:val="21"/>
        </w:rPr>
        <w:t>倍，但不必大于</w:t>
      </w:r>
      <w:r>
        <w:rPr>
          <w:szCs w:val="21"/>
        </w:rPr>
        <w:t>50mm</w:t>
      </w:r>
      <w:r>
        <w:rPr>
          <w:rFonts w:hint="eastAsia"/>
          <w:szCs w:val="21"/>
        </w:rPr>
        <w:t>。搭接表面应紧密贴合，搭接的两端应施以连续角焊。</w:t>
      </w:r>
    </w:p>
    <w:p>
      <w:pPr>
        <w:adjustRightInd w:val="0"/>
        <w:snapToGrid w:val="0"/>
        <w:ind w:firstLine="420" w:firstLineChars="200"/>
        <w:rPr>
          <w:szCs w:val="21"/>
        </w:rPr>
      </w:pPr>
      <w:r>
        <w:rPr>
          <w:rFonts w:hint="eastAsia"/>
          <w:szCs w:val="21"/>
        </w:rPr>
        <w:t>（5）焊缝每米范围内，气孔数量应小于</w:t>
      </w:r>
      <w:r>
        <w:rPr>
          <w:szCs w:val="21"/>
        </w:rPr>
        <w:t>3</w:t>
      </w:r>
      <w:r>
        <w:rPr>
          <w:rFonts w:hint="eastAsia"/>
          <w:szCs w:val="21"/>
        </w:rPr>
        <w:t>个，气孔最大尺寸不得大于</w:t>
      </w:r>
      <w:r>
        <w:rPr>
          <w:szCs w:val="21"/>
        </w:rPr>
        <w:t>1mm</w:t>
      </w:r>
      <w:r>
        <w:rPr>
          <w:rFonts w:hint="eastAsia"/>
          <w:szCs w:val="21"/>
        </w:rPr>
        <w:t>。</w:t>
      </w:r>
    </w:p>
    <w:p>
      <w:pPr>
        <w:adjustRightInd w:val="0"/>
        <w:snapToGrid w:val="0"/>
        <w:ind w:firstLine="420" w:firstLineChars="200"/>
        <w:rPr>
          <w:szCs w:val="21"/>
        </w:rPr>
      </w:pPr>
      <w:r>
        <w:rPr>
          <w:rFonts w:hint="eastAsia"/>
          <w:szCs w:val="21"/>
        </w:rPr>
        <w:t>（</w:t>
      </w:r>
      <w:r>
        <w:rPr>
          <w:szCs w:val="21"/>
        </w:rPr>
        <w:t>6</w:t>
      </w:r>
      <w:r>
        <w:rPr>
          <w:rFonts w:hint="eastAsia"/>
          <w:szCs w:val="21"/>
        </w:rPr>
        <w:t>）焊缝结构如图3</w:t>
      </w:r>
      <w:r>
        <w:rPr>
          <w:szCs w:val="21"/>
        </w:rPr>
        <w:t>.3.2.4</w:t>
      </w:r>
      <w:r>
        <w:rPr>
          <w:rFonts w:hint="eastAsia"/>
          <w:szCs w:val="21"/>
        </w:rPr>
        <w:t>所示</w:t>
      </w:r>
      <w:r>
        <w:rPr>
          <w:szCs w:val="21"/>
        </w:rPr>
        <w:t>。</w:t>
      </w:r>
    </w:p>
    <w:p>
      <w:pPr>
        <w:jc w:val="center"/>
        <w:textAlignment w:val="top"/>
        <w:rPr>
          <w:color w:val="000000"/>
        </w:rPr>
      </w:pPr>
      <w:r>
        <w:rPr>
          <w:color w:val="000000"/>
          <w:sz w:val="24"/>
        </w:rPr>
        <w:drawing>
          <wp:inline distT="0" distB="0" distL="0" distR="0">
            <wp:extent cx="2113280" cy="880745"/>
            <wp:effectExtent l="0" t="0" r="1270" b="0"/>
            <wp:docPr id="1" name="图片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1.jpg"/>
                    <pic:cNvPicPr>
                      <a:picLocks noChangeAspect="1" noChangeArrowheads="1"/>
                    </pic:cNvPicPr>
                  </pic:nvPicPr>
                  <pic:blipFill>
                    <a:blip r:embed="rId9">
                      <a:extLst>
                        <a:ext uri="{28A0092B-C50C-407E-A947-70E740481C1C}">
                          <a14:useLocalDpi xmlns:a14="http://schemas.microsoft.com/office/drawing/2010/main" val="0"/>
                        </a:ext>
                      </a:extLst>
                    </a:blip>
                    <a:srcRect r="59913"/>
                    <a:stretch>
                      <a:fillRect/>
                    </a:stretch>
                  </pic:blipFill>
                  <pic:spPr>
                    <a:xfrm>
                      <a:off x="0" y="0"/>
                      <a:ext cx="2114331" cy="881103"/>
                    </a:xfrm>
                    <a:prstGeom prst="rect">
                      <a:avLst/>
                    </a:prstGeom>
                    <a:noFill/>
                    <a:ln>
                      <a:noFill/>
                    </a:ln>
                  </pic:spPr>
                </pic:pic>
              </a:graphicData>
            </a:graphic>
          </wp:inline>
        </w:drawing>
      </w:r>
      <w:r>
        <w:rPr>
          <w:rFonts w:hint="eastAsia"/>
          <w:color w:val="000000"/>
        </w:rPr>
        <w:t xml:space="preserve">          </w:t>
      </w:r>
      <w:r>
        <w:rPr>
          <w:color w:val="000000"/>
          <w:sz w:val="24"/>
        </w:rPr>
        <w:drawing>
          <wp:inline distT="0" distB="0" distL="0" distR="0">
            <wp:extent cx="2108200" cy="880745"/>
            <wp:effectExtent l="0" t="0" r="6350" b="0"/>
            <wp:docPr id="2" name="图片 2"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1.jpg"/>
                    <pic:cNvPicPr>
                      <a:picLocks noChangeAspect="1" noChangeArrowheads="1"/>
                    </pic:cNvPicPr>
                  </pic:nvPicPr>
                  <pic:blipFill>
                    <a:blip r:embed="rId9">
                      <a:extLst>
                        <a:ext uri="{28A0092B-C50C-407E-A947-70E740481C1C}">
                          <a14:useLocalDpi xmlns:a14="http://schemas.microsoft.com/office/drawing/2010/main" val="0"/>
                        </a:ext>
                      </a:extLst>
                    </a:blip>
                    <a:srcRect l="60025"/>
                    <a:stretch>
                      <a:fillRect/>
                    </a:stretch>
                  </pic:blipFill>
                  <pic:spPr>
                    <a:xfrm>
                      <a:off x="0" y="0"/>
                      <a:ext cx="2108415" cy="880745"/>
                    </a:xfrm>
                    <a:prstGeom prst="rect">
                      <a:avLst/>
                    </a:prstGeom>
                    <a:noFill/>
                    <a:ln>
                      <a:noFill/>
                    </a:ln>
                  </pic:spPr>
                </pic:pic>
              </a:graphicData>
            </a:graphic>
          </wp:inline>
        </w:drawing>
      </w:r>
    </w:p>
    <w:p>
      <w:pPr>
        <w:spacing w:line="360" w:lineRule="auto"/>
        <w:ind w:left="-3" w:leftChars="-10" w:hanging="18" w:hangingChars="9"/>
        <w:jc w:val="center"/>
        <w:rPr>
          <w:color w:val="000000"/>
          <w:szCs w:val="21"/>
        </w:rPr>
      </w:pPr>
      <w:r>
        <w:rPr>
          <w:color w:val="000000"/>
          <w:szCs w:val="21"/>
        </w:rPr>
        <w:t>3.3.2.4</w:t>
      </w:r>
      <w:r>
        <w:rPr>
          <w:rFonts w:hint="eastAsia"/>
          <w:color w:val="000000"/>
          <w:szCs w:val="21"/>
        </w:rPr>
        <w:t xml:space="preserve">-1             </w:t>
      </w:r>
      <w:r>
        <w:rPr>
          <w:color w:val="000000"/>
          <w:szCs w:val="21"/>
        </w:rPr>
        <w:t xml:space="preserve">    </w:t>
      </w:r>
      <w:r>
        <w:rPr>
          <w:rFonts w:hint="eastAsia"/>
          <w:color w:val="000000"/>
          <w:szCs w:val="21"/>
        </w:rPr>
        <w:t xml:space="preserve">             </w:t>
      </w:r>
      <w:r>
        <w:rPr>
          <w:color w:val="000000"/>
          <w:szCs w:val="21"/>
        </w:rPr>
        <w:t>3.3.2.4</w:t>
      </w:r>
      <w:r>
        <w:rPr>
          <w:rFonts w:hint="eastAsia"/>
          <w:color w:val="000000"/>
          <w:szCs w:val="21"/>
        </w:rPr>
        <w:t>-2</w:t>
      </w:r>
    </w:p>
    <w:p>
      <w:pPr>
        <w:spacing w:line="360" w:lineRule="auto"/>
        <w:ind w:left="-3" w:leftChars="-10" w:hanging="18" w:hangingChars="9"/>
        <w:jc w:val="center"/>
        <w:rPr>
          <w:color w:val="000000"/>
        </w:rPr>
      </w:pPr>
      <w:r>
        <w:rPr>
          <w:color w:val="000000"/>
        </w:rPr>
        <w:drawing>
          <wp:inline distT="0" distB="0" distL="0" distR="0">
            <wp:extent cx="2147570" cy="1473200"/>
            <wp:effectExtent l="0" t="0" r="5080" b="0"/>
            <wp:docPr id="5" name="图片 5"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2.jpg"/>
                    <pic:cNvPicPr>
                      <a:picLocks noChangeAspect="1" noChangeArrowheads="1"/>
                    </pic:cNvPicPr>
                  </pic:nvPicPr>
                  <pic:blipFill>
                    <a:blip r:embed="rId10">
                      <a:extLst>
                        <a:ext uri="{28A0092B-C50C-407E-A947-70E740481C1C}">
                          <a14:useLocalDpi xmlns:a14="http://schemas.microsoft.com/office/drawing/2010/main" val="0"/>
                        </a:ext>
                      </a:extLst>
                    </a:blip>
                    <a:srcRect r="59269"/>
                    <a:stretch>
                      <a:fillRect/>
                    </a:stretch>
                  </pic:blipFill>
                  <pic:spPr>
                    <a:xfrm>
                      <a:off x="0" y="0"/>
                      <a:ext cx="2148312" cy="1473430"/>
                    </a:xfrm>
                    <a:prstGeom prst="rect">
                      <a:avLst/>
                    </a:prstGeom>
                    <a:noFill/>
                    <a:ln>
                      <a:noFill/>
                    </a:ln>
                  </pic:spPr>
                </pic:pic>
              </a:graphicData>
            </a:graphic>
          </wp:inline>
        </w:drawing>
      </w:r>
    </w:p>
    <w:p>
      <w:pPr>
        <w:spacing w:line="360" w:lineRule="auto"/>
        <w:ind w:left="-3" w:leftChars="-10" w:hanging="18" w:hangingChars="9"/>
        <w:jc w:val="center"/>
        <w:rPr>
          <w:color w:val="000000"/>
        </w:rPr>
      </w:pPr>
      <w:r>
        <w:rPr>
          <w:color w:val="000000"/>
        </w:rPr>
        <w:t>3.3.2.4</w:t>
      </w:r>
      <w:r>
        <w:rPr>
          <w:rFonts w:hint="eastAsia"/>
          <w:color w:val="000000"/>
        </w:rPr>
        <w:t>-3</w:t>
      </w:r>
    </w:p>
    <w:p>
      <w:pPr>
        <w:spacing w:line="360" w:lineRule="auto"/>
        <w:ind w:left="-3" w:leftChars="-10" w:hanging="18" w:hangingChars="9"/>
        <w:jc w:val="center"/>
        <w:rPr>
          <w:color w:val="000000"/>
        </w:rPr>
      </w:pPr>
      <w:r>
        <w:rPr>
          <w:color w:val="000000"/>
        </w:rPr>
        <w:drawing>
          <wp:inline distT="0" distB="0" distL="0" distR="0">
            <wp:extent cx="2095500" cy="1413510"/>
            <wp:effectExtent l="0" t="0" r="0" b="0"/>
            <wp:docPr id="6" name="图片 6"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2.jpg"/>
                    <pic:cNvPicPr>
                      <a:picLocks noChangeAspect="1" noChangeArrowheads="1"/>
                    </pic:cNvPicPr>
                  </pic:nvPicPr>
                  <pic:blipFill>
                    <a:blip r:embed="rId10">
                      <a:extLst>
                        <a:ext uri="{28A0092B-C50C-407E-A947-70E740481C1C}">
                          <a14:useLocalDpi xmlns:a14="http://schemas.microsoft.com/office/drawing/2010/main" val="0"/>
                        </a:ext>
                      </a:extLst>
                    </a:blip>
                    <a:srcRect l="62161" b="8613"/>
                    <a:stretch>
                      <a:fillRect/>
                    </a:stretch>
                  </pic:blipFill>
                  <pic:spPr>
                    <a:xfrm>
                      <a:off x="0" y="0"/>
                      <a:ext cx="2104192" cy="1419707"/>
                    </a:xfrm>
                    <a:prstGeom prst="rect">
                      <a:avLst/>
                    </a:prstGeom>
                    <a:noFill/>
                    <a:ln>
                      <a:noFill/>
                    </a:ln>
                  </pic:spPr>
                </pic:pic>
              </a:graphicData>
            </a:graphic>
          </wp:inline>
        </w:drawing>
      </w:r>
      <w:r>
        <w:rPr>
          <w:rFonts w:hint="eastAsia"/>
          <w:color w:val="000000"/>
        </w:rPr>
        <w:t xml:space="preserve">             </w:t>
      </w:r>
      <w:r>
        <w:rPr>
          <w:color w:val="000000"/>
        </w:rPr>
        <w:drawing>
          <wp:inline distT="0" distB="0" distL="0" distR="0">
            <wp:extent cx="1901825" cy="1233170"/>
            <wp:effectExtent l="0" t="0" r="3175" b="5080"/>
            <wp:docPr id="7" name="图片 7"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4.jpg"/>
                    <pic:cNvPicPr>
                      <a:picLocks noChangeAspect="1" noChangeArrowheads="1"/>
                    </pic:cNvPicPr>
                  </pic:nvPicPr>
                  <pic:blipFill>
                    <a:blip r:embed="rId11">
                      <a:extLst>
                        <a:ext uri="{28A0092B-C50C-407E-A947-70E740481C1C}">
                          <a14:useLocalDpi xmlns:a14="http://schemas.microsoft.com/office/drawing/2010/main" val="0"/>
                        </a:ext>
                      </a:extLst>
                    </a:blip>
                    <a:srcRect l="2648" b="7686"/>
                    <a:stretch>
                      <a:fillRect/>
                    </a:stretch>
                  </pic:blipFill>
                  <pic:spPr>
                    <a:xfrm>
                      <a:off x="0" y="0"/>
                      <a:ext cx="1918549" cy="1244425"/>
                    </a:xfrm>
                    <a:prstGeom prst="rect">
                      <a:avLst/>
                    </a:prstGeom>
                    <a:noFill/>
                    <a:ln>
                      <a:noFill/>
                    </a:ln>
                  </pic:spPr>
                </pic:pic>
              </a:graphicData>
            </a:graphic>
          </wp:inline>
        </w:drawing>
      </w:r>
    </w:p>
    <w:p>
      <w:pPr>
        <w:spacing w:line="360" w:lineRule="auto"/>
        <w:ind w:firstLine="420" w:firstLineChars="200"/>
        <w:jc w:val="center"/>
        <w:rPr>
          <w:color w:val="000000"/>
          <w:szCs w:val="21"/>
        </w:rPr>
      </w:pPr>
      <w:r>
        <w:rPr>
          <w:color w:val="000000"/>
          <w:szCs w:val="21"/>
        </w:rPr>
        <w:t>3.3.2.4</w:t>
      </w:r>
      <w:r>
        <w:rPr>
          <w:rFonts w:hint="eastAsia"/>
          <w:color w:val="000000"/>
          <w:szCs w:val="21"/>
        </w:rPr>
        <w:t>-4</w:t>
      </w:r>
    </w:p>
    <w:p>
      <w:pPr>
        <w:spacing w:line="360" w:lineRule="auto"/>
        <w:ind w:left="-3" w:leftChars="-10" w:hanging="18" w:hangingChars="9"/>
        <w:jc w:val="center"/>
        <w:rPr>
          <w:color w:val="000000"/>
        </w:rPr>
      </w:pPr>
      <w:r>
        <w:rPr>
          <w:rFonts w:hint="eastAsia"/>
          <w:color w:val="000000"/>
        </w:rPr>
        <w:t>1-单面剖口焊接；2-双面剖口焊接；3-双面角接焊接；4-角焊接</w:t>
      </w:r>
    </w:p>
    <w:p>
      <w:pPr>
        <w:adjustRightInd w:val="0"/>
        <w:snapToGrid w:val="0"/>
        <w:ind w:firstLine="420" w:firstLineChars="200"/>
        <w:jc w:val="center"/>
        <w:rPr>
          <w:szCs w:val="21"/>
        </w:rPr>
      </w:pPr>
      <w:r>
        <w:rPr>
          <w:rFonts w:hint="eastAsia"/>
          <w:szCs w:val="21"/>
        </w:rPr>
        <w:t>图3</w:t>
      </w:r>
      <w:r>
        <w:rPr>
          <w:szCs w:val="21"/>
        </w:rPr>
        <w:t>.3.2.4</w:t>
      </w:r>
      <w:r>
        <w:rPr>
          <w:rFonts w:hint="eastAsia"/>
          <w:szCs w:val="21"/>
        </w:rPr>
        <w:t>焊缝结构</w:t>
      </w:r>
    </w:p>
    <w:p>
      <w:pPr>
        <w:adjustRightInd w:val="0"/>
        <w:snapToGrid w:val="0"/>
        <w:ind w:firstLine="420" w:firstLineChars="200"/>
        <w:rPr>
          <w:szCs w:val="21"/>
        </w:rPr>
      </w:pPr>
    </w:p>
    <w:p>
      <w:pPr>
        <w:adjustRightInd w:val="0"/>
        <w:snapToGrid w:val="0"/>
        <w:ind w:firstLine="422" w:firstLineChars="200"/>
        <w:rPr>
          <w:b/>
        </w:rPr>
      </w:pPr>
      <w:r>
        <w:rPr>
          <w:rFonts w:hint="eastAsia"/>
          <w:b/>
        </w:rPr>
        <w:t>3.</w:t>
      </w:r>
      <w:r>
        <w:rPr>
          <w:b/>
        </w:rPr>
        <w:t>3</w:t>
      </w:r>
      <w:r>
        <w:rPr>
          <w:rFonts w:hint="eastAsia"/>
          <w:b/>
        </w:rPr>
        <w:t>.</w:t>
      </w:r>
      <w:r>
        <w:rPr>
          <w:b/>
        </w:rPr>
        <w:t>3</w:t>
      </w:r>
      <w:r>
        <w:rPr>
          <w:rFonts w:hint="eastAsia"/>
          <w:b/>
        </w:rPr>
        <w:t xml:space="preserve">  铆接工艺</w:t>
      </w:r>
    </w:p>
    <w:p>
      <w:pPr>
        <w:adjustRightInd w:val="0"/>
        <w:snapToGrid w:val="0"/>
        <w:ind w:firstLine="420" w:firstLineChars="200"/>
      </w:pPr>
      <w:r>
        <w:t xml:space="preserve">3.3.3.1  </w:t>
      </w:r>
      <w:r>
        <w:rPr>
          <w:rFonts w:hint="eastAsia"/>
        </w:rPr>
        <w:t>聚乙烯板材的铆接方法可采用金属制品的铆接方法，根据不同的铆接部位可选用金属铆钉，亦可选用热型性塑料铆钉。</w:t>
      </w:r>
    </w:p>
    <w:p>
      <w:pPr>
        <w:adjustRightInd w:val="0"/>
        <w:snapToGrid w:val="0"/>
        <w:ind w:firstLine="420" w:firstLineChars="200"/>
      </w:pPr>
      <w:r>
        <w:t xml:space="preserve">3.3.3.2  </w:t>
      </w:r>
      <w:r>
        <w:rPr>
          <w:rFonts w:hint="eastAsia"/>
        </w:rPr>
        <w:t>铆接时宜采用压入铆接法，铆钉两端应附上垫圈。</w:t>
      </w:r>
    </w:p>
    <w:p>
      <w:pPr>
        <w:adjustRightInd w:val="0"/>
        <w:snapToGrid w:val="0"/>
        <w:ind w:firstLine="420" w:firstLineChars="200"/>
      </w:pPr>
    </w:p>
    <w:p>
      <w:pPr>
        <w:adjustRightInd w:val="0"/>
        <w:snapToGrid w:val="0"/>
        <w:ind w:firstLine="422" w:firstLineChars="200"/>
        <w:rPr>
          <w:b/>
        </w:rPr>
      </w:pPr>
      <w:r>
        <w:rPr>
          <w:rFonts w:hint="eastAsia"/>
          <w:b/>
        </w:rPr>
        <w:t>3.</w:t>
      </w:r>
      <w:r>
        <w:rPr>
          <w:b/>
        </w:rPr>
        <w:t>3</w:t>
      </w:r>
      <w:r>
        <w:rPr>
          <w:rFonts w:hint="eastAsia"/>
          <w:b/>
        </w:rPr>
        <w:t>.</w:t>
      </w:r>
      <w:r>
        <w:rPr>
          <w:b/>
        </w:rPr>
        <w:t>4</w:t>
      </w:r>
      <w:r>
        <w:rPr>
          <w:rFonts w:hint="eastAsia"/>
          <w:b/>
        </w:rPr>
        <w:t xml:space="preserve">  缺陷修复工艺</w:t>
      </w:r>
    </w:p>
    <w:p>
      <w:pPr>
        <w:adjustRightInd w:val="0"/>
        <w:snapToGrid w:val="0"/>
        <w:ind w:firstLine="420" w:firstLineChars="200"/>
      </w:pPr>
      <w:r>
        <w:t xml:space="preserve">3.3.4.1 </w:t>
      </w:r>
      <w:r>
        <w:rPr>
          <w:rFonts w:hint="eastAsia"/>
        </w:rPr>
        <w:t>变形矫正</w:t>
      </w:r>
    </w:p>
    <w:p>
      <w:pPr>
        <w:adjustRightInd w:val="0"/>
        <w:snapToGrid w:val="0"/>
        <w:ind w:firstLine="420" w:firstLineChars="200"/>
      </w:pPr>
      <w:r>
        <w:rPr>
          <w:rFonts w:hint="eastAsia"/>
        </w:rPr>
        <w:t>（1）水火矫正法：通过对变形部位正反两面进行有规则的热风集中加热再冷却，使该部位获得不可逆的塑性变形，达到矫正变形的目的。</w:t>
      </w:r>
    </w:p>
    <w:p>
      <w:pPr>
        <w:adjustRightInd w:val="0"/>
        <w:snapToGrid w:val="0"/>
        <w:ind w:firstLine="420" w:firstLineChars="200"/>
      </w:pPr>
      <w:r>
        <w:rPr>
          <w:rFonts w:hint="eastAsia"/>
        </w:rPr>
        <w:t>（2）机械矫正法：将变形部位热风均匀加热至软化温度，对该部位施加外力，减少或消除该处的塑性变形，保持外力直至材料冷却到室温，达到矫正变形的目的。</w:t>
      </w:r>
    </w:p>
    <w:p>
      <w:pPr>
        <w:adjustRightInd w:val="0"/>
        <w:snapToGrid w:val="0"/>
        <w:ind w:firstLine="420" w:firstLineChars="200"/>
      </w:pPr>
      <w:r>
        <w:t xml:space="preserve">3.3.4.2 </w:t>
      </w:r>
      <w:r>
        <w:rPr>
          <w:rFonts w:hint="eastAsia"/>
        </w:rPr>
        <w:t>破损修复</w:t>
      </w:r>
    </w:p>
    <w:p>
      <w:pPr>
        <w:adjustRightInd w:val="0"/>
        <w:snapToGrid w:val="0"/>
        <w:ind w:firstLine="420" w:firstLineChars="200"/>
      </w:pPr>
      <w:r>
        <w:rPr>
          <w:rFonts w:hint="eastAsia"/>
        </w:rPr>
        <w:t>（1）热熔涂敷法：将待修复区域表面热风加热至焊接温度，在破损凹陷处涂敷同材质的粉料或者薄膜，热风吹化后用压辊压实，冷却至室温后再打磨至表面平齐、光滑；适用于非穿透式的表面刮痕、陷坑等。</w:t>
      </w:r>
    </w:p>
    <w:p>
      <w:pPr>
        <w:adjustRightInd w:val="0"/>
        <w:snapToGrid w:val="0"/>
        <w:ind w:firstLine="420" w:firstLineChars="200"/>
      </w:pPr>
      <w:r>
        <w:rPr>
          <w:rFonts w:hint="eastAsia"/>
        </w:rPr>
        <w:t>（2）直接填充法：在破损区域的一面固定一块金属板，另一面采用焊接工艺向破损处挤入熔融的焊条，冷却至室温后双面打磨至表面平齐、光滑；适用于开口宽度不大于</w:t>
      </w:r>
      <w:r>
        <w:t>20mm</w:t>
      </w:r>
      <w:r>
        <w:rPr>
          <w:rFonts w:hint="eastAsia"/>
        </w:rPr>
        <w:t>的条状裂缝、最大外径不大于</w:t>
      </w:r>
      <w:r>
        <w:t>25mm</w:t>
      </w:r>
      <w:r>
        <w:rPr>
          <w:rFonts w:hint="eastAsia"/>
        </w:rPr>
        <w:t>的穿孔等穿透式破损。</w:t>
      </w:r>
    </w:p>
    <w:p>
      <w:pPr>
        <w:adjustRightInd w:val="0"/>
        <w:snapToGrid w:val="0"/>
        <w:ind w:firstLine="420" w:firstLineChars="200"/>
      </w:pPr>
      <w:r>
        <w:rPr>
          <w:rFonts w:hint="eastAsia"/>
        </w:rPr>
        <w:t>（3）切割重焊法：将破损区域整块切除后，重新焊接一块新板，切除形状为圆角矩形，圆角半径不小于该处板厚，矩形边缘距离破损区域边缘不小于</w:t>
      </w:r>
      <w:r>
        <w:t>5mm</w:t>
      </w:r>
      <w:r>
        <w:rPr>
          <w:rFonts w:hint="eastAsia"/>
        </w:rPr>
        <w:t>，但不必大于</w:t>
      </w:r>
      <w:r>
        <w:t>10mm</w:t>
      </w:r>
      <w:r>
        <w:rPr>
          <w:rFonts w:hint="eastAsia"/>
        </w:rPr>
        <w:t>；适用于面积较大的破损。</w:t>
      </w:r>
    </w:p>
    <w:p>
      <w:pPr>
        <w:adjustRightInd w:val="0"/>
        <w:snapToGrid w:val="0"/>
        <w:ind w:firstLine="420" w:firstLineChars="200"/>
        <w:jc w:val="left"/>
        <w:rPr>
          <w:szCs w:val="21"/>
        </w:rPr>
      </w:pPr>
      <w:r>
        <w:rPr>
          <w:szCs w:val="21"/>
        </w:rPr>
        <w:br w:type="page"/>
      </w:r>
    </w:p>
    <w:p>
      <w:pPr>
        <w:adjustRightInd w:val="0"/>
        <w:snapToGrid w:val="0"/>
        <w:ind w:firstLine="420" w:firstLineChars="200"/>
        <w:jc w:val="left"/>
        <w:rPr>
          <w:szCs w:val="21"/>
        </w:rPr>
      </w:pPr>
    </w:p>
    <w:p>
      <w:pPr>
        <w:pStyle w:val="2"/>
        <w:autoSpaceDE w:val="0"/>
        <w:autoSpaceDN w:val="0"/>
        <w:snapToGrid/>
        <w:spacing w:before="240" w:after="240" w:line="240" w:lineRule="auto"/>
        <w:textAlignment w:val="baseline"/>
        <w:rPr>
          <w:bCs w:val="0"/>
          <w:szCs w:val="20"/>
        </w:rPr>
      </w:pPr>
      <w:bookmarkStart w:id="52" w:name="_Toc50386763"/>
      <w:bookmarkStart w:id="53" w:name="_Toc70411343"/>
      <w:r>
        <w:rPr>
          <w:bCs w:val="0"/>
          <w:szCs w:val="20"/>
        </w:rPr>
        <w:t>第4</w:t>
      </w:r>
      <w:r>
        <w:rPr>
          <w:rFonts w:hint="eastAsia"/>
          <w:bCs w:val="0"/>
          <w:szCs w:val="20"/>
        </w:rPr>
        <w:t>章</w:t>
      </w:r>
      <w:r>
        <w:rPr>
          <w:bCs w:val="0"/>
          <w:szCs w:val="20"/>
        </w:rPr>
        <w:t xml:space="preserve">  </w:t>
      </w:r>
      <w:r>
        <w:rPr>
          <w:rFonts w:hint="eastAsia"/>
          <w:bCs w:val="0"/>
          <w:szCs w:val="20"/>
        </w:rPr>
        <w:t>船体结构</w:t>
      </w:r>
      <w:bookmarkEnd w:id="52"/>
      <w:bookmarkEnd w:id="53"/>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54" w:name="_Toc50386764"/>
      <w:bookmarkStart w:id="55" w:name="_Toc70411344"/>
      <w:r>
        <w:rPr>
          <w:rFonts w:eastAsia="楷体"/>
          <w:b w:val="0"/>
          <w:bCs w:val="0"/>
          <w:snapToGrid w:val="0"/>
          <w:kern w:val="0"/>
          <w:sz w:val="28"/>
          <w:szCs w:val="20"/>
        </w:rPr>
        <w:t xml:space="preserve">第1节  </w:t>
      </w:r>
      <w:r>
        <w:rPr>
          <w:rFonts w:hint="eastAsia" w:eastAsia="楷体"/>
          <w:b w:val="0"/>
          <w:bCs w:val="0"/>
          <w:snapToGrid w:val="0"/>
          <w:kern w:val="0"/>
          <w:sz w:val="28"/>
          <w:szCs w:val="20"/>
        </w:rPr>
        <w:t>一般规定</w:t>
      </w:r>
      <w:bookmarkEnd w:id="54"/>
      <w:bookmarkEnd w:id="55"/>
    </w:p>
    <w:p>
      <w:pPr>
        <w:adjustRightInd w:val="0"/>
        <w:snapToGrid w:val="0"/>
        <w:ind w:firstLine="420" w:firstLineChars="200"/>
      </w:pPr>
      <w:r>
        <w:t xml:space="preserve">4.1.1  </w:t>
      </w:r>
      <w:r>
        <w:rPr>
          <w:rFonts w:hint="eastAsia"/>
        </w:rPr>
        <w:t>船体结构的设计应能承受船舶在整个服役期间所遭遇的最大外力。</w:t>
      </w:r>
    </w:p>
    <w:p>
      <w:pPr>
        <w:adjustRightInd w:val="0"/>
        <w:snapToGrid w:val="0"/>
        <w:ind w:firstLine="420" w:firstLineChars="200"/>
      </w:pPr>
      <w:r>
        <w:t xml:space="preserve">4.1.2  </w:t>
      </w:r>
      <w:r>
        <w:rPr>
          <w:rFonts w:hint="eastAsia"/>
        </w:rPr>
        <w:t>船体骨材的短边间距应不大于</w:t>
      </w:r>
      <w:r>
        <w:t>500mm</w:t>
      </w:r>
      <w:r>
        <w:rPr>
          <w:rFonts w:hint="eastAsia"/>
        </w:rPr>
        <w:t>。</w:t>
      </w:r>
    </w:p>
    <w:p>
      <w:pPr>
        <w:adjustRightInd w:val="0"/>
        <w:snapToGrid w:val="0"/>
        <w:ind w:firstLine="420" w:firstLineChars="200"/>
      </w:pPr>
      <w:r>
        <w:t xml:space="preserve">4.1.3  </w:t>
      </w:r>
      <w:r>
        <w:rPr>
          <w:rFonts w:hint="eastAsia"/>
        </w:rPr>
        <w:t>纵骨架式结构的纵向构件应保持连续或等效连续。纵向次要骨材在舱壁处中断时，应设置连接肘板以保证结构的纵向连续性。位于舱壁两侧的纵向次要骨材和肘板均应对齐。</w:t>
      </w:r>
    </w:p>
    <w:p>
      <w:pPr>
        <w:adjustRightInd w:val="0"/>
        <w:snapToGrid w:val="0"/>
        <w:ind w:firstLine="420" w:firstLineChars="200"/>
      </w:pPr>
      <w:r>
        <w:t xml:space="preserve">4.1.4  </w:t>
      </w:r>
      <w:r>
        <w:rPr>
          <w:rFonts w:hint="eastAsia"/>
        </w:rPr>
        <w:t>横骨架式结构的横向构件亦应尽可能保持连续。横向次要骨材在纵舱壁或纵向主要构件处中断时，同样应设置肘板，且骨材和肘板都应对齐。</w:t>
      </w:r>
    </w:p>
    <w:p>
      <w:pPr>
        <w:adjustRightInd w:val="0"/>
        <w:snapToGrid w:val="0"/>
        <w:ind w:firstLine="420" w:firstLineChars="200"/>
      </w:pPr>
      <w:r>
        <w:t xml:space="preserve">4.1.5  </w:t>
      </w:r>
      <w:r>
        <w:rPr>
          <w:rFonts w:hint="eastAsia"/>
        </w:rPr>
        <w:t>船底实肋板、船侧强肋骨和甲板强横梁应在同一横剖面内有效连续，并有效地连接，构成完整的刚性整体。</w:t>
      </w:r>
    </w:p>
    <w:p>
      <w:pPr>
        <w:adjustRightInd w:val="0"/>
        <w:snapToGrid w:val="0"/>
        <w:ind w:firstLine="420" w:firstLineChars="200"/>
      </w:pPr>
      <w:r>
        <w:t xml:space="preserve">4.1.6  </w:t>
      </w:r>
      <w:r>
        <w:rPr>
          <w:rFonts w:hint="eastAsia"/>
        </w:rPr>
        <w:t>设计单位可以按平面板架或立体刚架有限元分析法或其他理论计算法确定构件的尺寸及布置，但板厚仍应满足最小厚度要求，且应提交必要的计算资料供船舶检验机构审查。</w:t>
      </w:r>
    </w:p>
    <w:p>
      <w:pPr>
        <w:adjustRightInd w:val="0"/>
        <w:snapToGrid w:val="0"/>
        <w:ind w:firstLine="420" w:firstLineChars="200"/>
      </w:pPr>
      <w:r>
        <w:t xml:space="preserve">4.1.7  </w:t>
      </w:r>
      <w:r>
        <w:rPr>
          <w:rFonts w:hint="eastAsia"/>
        </w:rPr>
        <w:t>船长大于1</w:t>
      </w:r>
      <w:r>
        <w:t>6</w:t>
      </w:r>
      <w:r>
        <w:rPr>
          <w:rFonts w:hint="eastAsia"/>
        </w:rPr>
        <w:t>m但小于2</w:t>
      </w:r>
      <w:r>
        <w:t>4</w:t>
      </w:r>
      <w:r>
        <w:rPr>
          <w:rFonts w:hint="eastAsia"/>
        </w:rPr>
        <w:t>m焊接成型的高密度聚乙烯渔船</w:t>
      </w:r>
      <w:r>
        <w:t>的结构</w:t>
      </w:r>
      <w:r>
        <w:rPr>
          <w:rFonts w:hint="eastAsia"/>
        </w:rPr>
        <w:t>计算可参照</w:t>
      </w:r>
      <w:r>
        <w:t>本章规定，并</w:t>
      </w:r>
      <w:r>
        <w:rPr>
          <w:rFonts w:hint="eastAsia"/>
        </w:rPr>
        <w:t>使用</w:t>
      </w:r>
      <w:r>
        <w:t>有限元的方法进行验证</w:t>
      </w:r>
      <w:r>
        <w:rPr>
          <w:rFonts w:hint="eastAsia"/>
        </w:rPr>
        <w:t>，载重线</w:t>
      </w:r>
      <w:r>
        <w:t>、完整稳性、吨位计算、</w:t>
      </w:r>
      <w:r>
        <w:rPr>
          <w:rFonts w:hint="eastAsia"/>
        </w:rPr>
        <w:t>轮机、</w:t>
      </w:r>
      <w:r>
        <w:t>电气</w:t>
      </w:r>
      <w:r>
        <w:rPr>
          <w:rFonts w:hint="eastAsia"/>
        </w:rPr>
        <w:t>以及船舶</w:t>
      </w:r>
      <w:r>
        <w:t>设备应满足本暂行规则</w:t>
      </w:r>
      <w:r>
        <w:rPr>
          <w:rFonts w:hint="eastAsia"/>
        </w:rPr>
        <w:t>其他章</w:t>
      </w:r>
      <w:r>
        <w:t>的</w:t>
      </w:r>
      <w:r>
        <w:rPr>
          <w:rFonts w:hint="eastAsia"/>
        </w:rPr>
        <w:t>规定。</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56" w:name="_Toc70411345"/>
      <w:bookmarkStart w:id="57" w:name="_Toc50386765"/>
      <w:r>
        <w:rPr>
          <w:rFonts w:eastAsia="楷体"/>
          <w:b w:val="0"/>
          <w:bCs w:val="0"/>
          <w:snapToGrid w:val="0"/>
          <w:kern w:val="0"/>
          <w:sz w:val="28"/>
          <w:szCs w:val="20"/>
        </w:rPr>
        <w:t xml:space="preserve">第2节  </w:t>
      </w:r>
      <w:r>
        <w:rPr>
          <w:rFonts w:hint="eastAsia" w:eastAsia="楷体"/>
          <w:b w:val="0"/>
          <w:bCs w:val="0"/>
          <w:snapToGrid w:val="0"/>
          <w:kern w:val="0"/>
          <w:sz w:val="28"/>
          <w:szCs w:val="20"/>
        </w:rPr>
        <w:t>总纵强度</w:t>
      </w:r>
      <w:bookmarkEnd w:id="56"/>
    </w:p>
    <w:p>
      <w:pPr>
        <w:adjustRightInd w:val="0"/>
        <w:snapToGrid w:val="0"/>
        <w:ind w:firstLine="422" w:firstLineChars="200"/>
        <w:rPr>
          <w:b/>
        </w:rPr>
      </w:pPr>
      <w:r>
        <w:rPr>
          <w:b/>
        </w:rPr>
        <w:t xml:space="preserve">4.2.1  </w:t>
      </w:r>
      <w:r>
        <w:rPr>
          <w:rFonts w:hint="eastAsia"/>
          <w:b/>
        </w:rPr>
        <w:t>一般要求</w:t>
      </w:r>
    </w:p>
    <w:p>
      <w:pPr>
        <w:adjustRightInd w:val="0"/>
        <w:snapToGrid w:val="0"/>
        <w:ind w:firstLine="420" w:firstLineChars="200"/>
      </w:pPr>
      <w:r>
        <w:t xml:space="preserve">4.2.1.1  </w:t>
      </w:r>
      <w:r>
        <w:rPr>
          <w:rFonts w:hint="eastAsia"/>
        </w:rPr>
        <w:t>总纵强度校核时的装载状态均取满载出港装载情况。</w:t>
      </w:r>
    </w:p>
    <w:p>
      <w:pPr>
        <w:adjustRightInd w:val="0"/>
        <w:snapToGrid w:val="0"/>
        <w:ind w:firstLine="420" w:firstLineChars="200"/>
      </w:pPr>
      <w:r>
        <w:t>4.2.1.2  船长小于</w:t>
      </w:r>
      <w:r>
        <w:rPr>
          <w:rFonts w:hint="eastAsia"/>
        </w:rPr>
        <w:t>7</w:t>
      </w:r>
      <w:r>
        <w:t>m</w:t>
      </w:r>
      <w:r>
        <w:rPr>
          <w:rFonts w:hint="eastAsia"/>
        </w:rPr>
        <w:t>的</w:t>
      </w:r>
      <w:r>
        <w:t>渔船</w:t>
      </w:r>
      <w:r>
        <w:rPr>
          <w:rFonts w:hint="eastAsia"/>
        </w:rPr>
        <w:t>，且</w:t>
      </w:r>
      <w:r>
        <w:rPr>
          <w:rFonts w:ascii="Cambria Math" w:hAnsi="Cambria Math" w:cs="Cambria Math"/>
        </w:rPr>
        <w:t>𝐿</w:t>
      </w:r>
      <w:r>
        <w:t>/</w:t>
      </w:r>
      <w:r>
        <w:rPr>
          <w:rFonts w:ascii="Cambria Math" w:hAnsi="Cambria Math" w:cs="Cambria Math"/>
        </w:rPr>
        <w:t>𝐷</w:t>
      </w:r>
      <w:r>
        <w:rPr>
          <w:rFonts w:hint="eastAsia"/>
        </w:rPr>
        <w:t>小于</w:t>
      </w:r>
      <w:r>
        <w:t>12</w:t>
      </w:r>
      <w:r>
        <w:rPr>
          <w:rFonts w:hint="eastAsia"/>
        </w:rPr>
        <w:t>，可免于校核船体的总纵强度。</w:t>
      </w:r>
    </w:p>
    <w:p>
      <w:pPr>
        <w:adjustRightInd w:val="0"/>
        <w:snapToGrid w:val="0"/>
        <w:ind w:firstLine="422" w:firstLineChars="200"/>
        <w:jc w:val="left"/>
        <w:rPr>
          <w:b/>
        </w:rPr>
      </w:pPr>
    </w:p>
    <w:p>
      <w:pPr>
        <w:adjustRightInd w:val="0"/>
        <w:snapToGrid w:val="0"/>
        <w:ind w:firstLine="422" w:firstLineChars="200"/>
      </w:pPr>
      <w:r>
        <w:rPr>
          <w:b/>
        </w:rPr>
        <w:t xml:space="preserve">4.2.2  </w:t>
      </w:r>
      <w:r>
        <w:rPr>
          <w:rFonts w:hint="eastAsia"/>
          <w:b/>
        </w:rPr>
        <w:t>许用应力</w:t>
      </w:r>
    </w:p>
    <w:p>
      <w:pPr>
        <w:adjustRightInd w:val="0"/>
        <w:snapToGrid w:val="0"/>
        <w:ind w:firstLine="420" w:firstLineChars="200"/>
      </w:pPr>
      <w:r>
        <w:t xml:space="preserve">4.2.2.1  </w:t>
      </w:r>
      <w:r>
        <w:rPr>
          <w:rFonts w:hint="eastAsia"/>
        </w:rPr>
        <w:t>校核总强度时的许用应力如下</w:t>
      </w:r>
      <w:r>
        <w:t>：</w:t>
      </w:r>
    </w:p>
    <w:p>
      <w:pPr>
        <w:adjustRightInd w:val="0"/>
        <w:snapToGrid w:val="0"/>
        <w:ind w:firstLine="420" w:firstLineChars="200"/>
      </w:pPr>
      <w:r>
        <w:rPr>
          <w:rFonts w:hint="eastAsia"/>
        </w:rPr>
        <w:t>（1）纵向构件的拉伸许用应力</w:t>
      </w:r>
      <w:r>
        <w:t>[</w:t>
      </w:r>
      <w:r>
        <w:rPr>
          <w:rFonts w:ascii="Cambria Math" w:hAnsi="Cambria Math" w:cs="Cambria Math"/>
        </w:rPr>
        <w:t>𝜎</w:t>
      </w:r>
      <w:r>
        <w:t>]=0.67</w:t>
      </w:r>
      <w:r>
        <w:rPr>
          <w:rFonts w:ascii="Cambria Math" w:hAnsi="Cambria Math" w:cs="Cambria Math"/>
        </w:rPr>
        <w:t>𝜎𝑠</w:t>
      </w:r>
      <w:r>
        <w:rPr>
          <w:rFonts w:hint="eastAsia"/>
        </w:rPr>
        <w:t>；</w:t>
      </w:r>
    </w:p>
    <w:p>
      <w:pPr>
        <w:adjustRightInd w:val="0"/>
        <w:snapToGrid w:val="0"/>
        <w:ind w:firstLine="420" w:firstLineChars="200"/>
      </w:pPr>
      <w:r>
        <w:rPr>
          <w:rFonts w:hint="eastAsia"/>
        </w:rPr>
        <w:t>（2）许用剪切应力</w:t>
      </w:r>
      <w:r>
        <w:t>[</w:t>
      </w:r>
      <w:r>
        <w:rPr>
          <w:rFonts w:ascii="Cambria Math" w:hAnsi="Cambria Math" w:cs="Cambria Math"/>
        </w:rPr>
        <w:t>𝜏</w:t>
      </w:r>
      <w:r>
        <w:t>]=0.38</w:t>
      </w:r>
      <w:r>
        <w:rPr>
          <w:rFonts w:ascii="Cambria Math" w:hAnsi="Cambria Math" w:cs="Cambria Math"/>
        </w:rPr>
        <w:t>𝜎𝑠</w:t>
      </w:r>
      <w:r>
        <w:rPr>
          <w:rFonts w:hint="eastAsia"/>
        </w:rPr>
        <w:t>。</w:t>
      </w:r>
    </w:p>
    <w:p>
      <w:pPr>
        <w:adjustRightInd w:val="0"/>
        <w:snapToGrid w:val="0"/>
        <w:ind w:left="420" w:leftChars="200" w:firstLine="420" w:firstLineChars="200"/>
      </w:pPr>
      <w:r>
        <w:rPr>
          <w:rFonts w:ascii="Cambria Math" w:hAnsi="Cambria Math" w:cs="Cambria Math"/>
        </w:rPr>
        <w:t>𝜎𝑠</w:t>
      </w:r>
      <w:r>
        <w:t>——</w:t>
      </w:r>
      <w:r>
        <w:rPr>
          <w:rFonts w:hint="eastAsia"/>
        </w:rPr>
        <w:t>构件材料的拉伸屈服强度，</w:t>
      </w:r>
      <w:r>
        <w:t>MPa</w:t>
      </w:r>
      <w:r>
        <w:rPr>
          <w:rFonts w:hint="eastAsia"/>
        </w:rPr>
        <w:t>。</w:t>
      </w:r>
    </w:p>
    <w:p>
      <w:pPr>
        <w:adjustRightInd w:val="0"/>
        <w:snapToGrid w:val="0"/>
        <w:ind w:firstLine="420" w:firstLineChars="200"/>
        <w:jc w:val="left"/>
      </w:pPr>
    </w:p>
    <w:p>
      <w:pPr>
        <w:adjustRightInd w:val="0"/>
        <w:snapToGrid w:val="0"/>
        <w:ind w:firstLine="422" w:firstLineChars="200"/>
        <w:rPr>
          <w:b/>
        </w:rPr>
      </w:pPr>
      <w:r>
        <w:rPr>
          <w:b/>
        </w:rPr>
        <w:t xml:space="preserve">4.2.3  </w:t>
      </w:r>
      <w:r>
        <w:rPr>
          <w:rFonts w:hint="eastAsia"/>
          <w:b/>
        </w:rPr>
        <w:t>最小剖面模数</w:t>
      </w:r>
    </w:p>
    <w:p>
      <w:pPr>
        <w:adjustRightInd w:val="0"/>
        <w:snapToGrid w:val="0"/>
        <w:ind w:left="420"/>
      </w:pPr>
      <w:bookmarkStart w:id="58" w:name="_Toc28183"/>
      <w:bookmarkStart w:id="59" w:name="_Toc8680"/>
      <w:r>
        <w:t xml:space="preserve">4.2.3.1  </w:t>
      </w:r>
      <w:r>
        <w:rPr>
          <w:rFonts w:hint="eastAsia"/>
        </w:rPr>
        <w:t>最小中剖面模数</w:t>
      </w:r>
      <w:r>
        <w:rPr>
          <w:i/>
          <w:iCs/>
        </w:rPr>
        <w:t>W</w:t>
      </w:r>
      <w:r>
        <w:rPr>
          <w:rFonts w:hint="eastAsia"/>
        </w:rPr>
        <w:t>不应小于下列计算所得之值：</w:t>
      </w:r>
      <w:bookmarkEnd w:id="58"/>
      <w:bookmarkEnd w:id="59"/>
    </w:p>
    <w:p>
      <w:pPr>
        <w:adjustRightInd w:val="0"/>
        <w:snapToGrid w:val="0"/>
        <w:ind w:firstLine="420" w:firstLineChars="200"/>
        <w:jc w:val="center"/>
      </w:pPr>
      <w:r>
        <w:rPr>
          <w:vertAlign w:val="subscript"/>
        </w:rPr>
        <w:object>
          <v:shape id="_x0000_i1026" o:spt="75" type="#_x0000_t75" style="height:35.3pt;width:71.3pt;" o:ole="t" filled="f" o:preferrelative="t" stroked="f" coordsize="21600,21600">
            <v:path/>
            <v:fill on="f" focussize="0,0"/>
            <v:stroke on="f" joinstyle="miter"/>
            <v:imagedata r:id="rId13" o:title=""/>
            <o:lock v:ext="edit" aspectratio="t"/>
            <w10:wrap type="none"/>
            <w10:anchorlock/>
          </v:shape>
          <o:OLEObject Type="Embed" ProgID="Equation.3" ShapeID="_x0000_i1026" DrawAspect="Content" ObjectID="_1468075725" r:id="rId12">
            <o:LockedField>false</o:LockedField>
          </o:OLEObject>
        </w:object>
      </w:r>
    </w:p>
    <w:p>
      <w:pPr>
        <w:adjustRightInd w:val="0"/>
        <w:snapToGrid w:val="0"/>
        <w:ind w:firstLine="420" w:firstLineChars="200"/>
      </w:pPr>
      <w:r>
        <w:rPr>
          <w:rFonts w:hint="eastAsia"/>
        </w:rPr>
        <w:t>式中：</w:t>
      </w:r>
    </w:p>
    <w:p>
      <w:pPr>
        <w:adjustRightInd w:val="0"/>
        <w:snapToGrid w:val="0"/>
        <w:ind w:left="1470" w:leftChars="400" w:hanging="630" w:hangingChars="300"/>
        <w:rPr>
          <w:i/>
          <w:iCs/>
        </w:rPr>
      </w:pPr>
      <w:r>
        <w:rPr>
          <w:i/>
          <w:iCs/>
        </w:rPr>
        <w:t>W</w:t>
      </w:r>
      <w:r>
        <w:t>——</w:t>
      </w:r>
      <w:r>
        <w:rPr>
          <w:rFonts w:hint="eastAsia"/>
        </w:rPr>
        <w:t>最小中剖面模数</w:t>
      </w:r>
      <w:r>
        <w:t>，cm</w:t>
      </w:r>
      <w:r>
        <w:rPr>
          <w:vertAlign w:val="superscript"/>
        </w:rPr>
        <w:t>3</w:t>
      </w:r>
      <w:r>
        <w:t>；</w:t>
      </w:r>
    </w:p>
    <w:p>
      <w:pPr>
        <w:adjustRightInd w:val="0"/>
        <w:snapToGrid w:val="0"/>
        <w:ind w:left="1470" w:leftChars="400" w:hanging="630" w:hangingChars="300"/>
      </w:pPr>
      <w:r>
        <w:rPr>
          <w:i/>
          <w:iCs/>
        </w:rPr>
        <w:t>σ</w:t>
      </w:r>
      <w:r>
        <w:rPr>
          <w:i/>
          <w:iCs/>
          <w:vertAlign w:val="subscript"/>
        </w:rPr>
        <w:t>f</w:t>
      </w:r>
      <w:r>
        <w:t>——成型板材弯曲强度，MPa；</w:t>
      </w:r>
    </w:p>
    <w:p>
      <w:pPr>
        <w:adjustRightInd w:val="0"/>
        <w:snapToGrid w:val="0"/>
        <w:ind w:left="1470" w:leftChars="400" w:hanging="630" w:hangingChars="300"/>
      </w:pPr>
      <w:r>
        <w:rPr>
          <w:i/>
          <w:iCs/>
        </w:rPr>
        <w:t>M</w:t>
      </w:r>
      <w:r>
        <w:t>——最大总纵弯矩，kN∙m，取</w:t>
      </w:r>
      <w:r>
        <w:rPr>
          <w:i/>
          <w:iCs/>
        </w:rPr>
        <w:t>M=0.016L</w:t>
      </w:r>
      <w:r>
        <w:rPr>
          <w:i/>
          <w:iCs/>
          <w:vertAlign w:val="superscript"/>
        </w:rPr>
        <w:t>3</w:t>
      </w:r>
      <w:r>
        <w:rPr>
          <w:i/>
          <w:iCs/>
        </w:rPr>
        <w:t>B</w:t>
      </w:r>
      <w:r>
        <w:t>，且</w:t>
      </w:r>
      <w:r>
        <w:rPr>
          <w:rFonts w:hint="eastAsia"/>
        </w:rPr>
        <w:t>海洋</w:t>
      </w:r>
      <w:r>
        <w:t>及内河A级航区渔船的</w:t>
      </w:r>
      <w:r>
        <w:rPr>
          <w:i/>
          <w:iCs/>
        </w:rPr>
        <w:t>M</w:t>
      </w:r>
      <w:r>
        <w:t>取值</w:t>
      </w:r>
      <w:r>
        <w:rPr>
          <w:rFonts w:hint="eastAsia"/>
        </w:rPr>
        <w:t>应大于等于</w:t>
      </w:r>
      <w:r>
        <w:t>100kN∙m，内河B级及C级航区的渔业船舶取值</w:t>
      </w:r>
      <w:r>
        <w:rPr>
          <w:rFonts w:hint="eastAsia"/>
        </w:rPr>
        <w:t>应大于</w:t>
      </w:r>
      <w:r>
        <w:t>等于80kN∙m；</w:t>
      </w:r>
    </w:p>
    <w:p>
      <w:pPr>
        <w:adjustRightInd w:val="0"/>
        <w:snapToGrid w:val="0"/>
        <w:ind w:left="1470" w:leftChars="400" w:hanging="630" w:hangingChars="300"/>
      </w:pPr>
      <w:r>
        <w:rPr>
          <w:i/>
          <w:iCs/>
        </w:rPr>
        <w:t>L</w:t>
      </w:r>
      <w:r>
        <w:t>——船长，m；</w:t>
      </w:r>
    </w:p>
    <w:p>
      <w:pPr>
        <w:adjustRightInd w:val="0"/>
        <w:snapToGrid w:val="0"/>
        <w:ind w:left="1470" w:leftChars="400" w:hanging="630" w:hangingChars="300"/>
      </w:pPr>
      <w:r>
        <w:rPr>
          <w:i/>
          <w:iCs/>
        </w:rPr>
        <w:t>B</w:t>
      </w:r>
      <w:r>
        <w:t>——船宽，m。</w:t>
      </w:r>
    </w:p>
    <w:p>
      <w:pPr>
        <w:adjustRightInd w:val="0"/>
        <w:snapToGrid w:val="0"/>
        <w:ind w:firstLine="422" w:firstLineChars="200"/>
        <w:jc w:val="left"/>
        <w:rPr>
          <w:b/>
        </w:rPr>
      </w:pPr>
      <w:bookmarkStart w:id="60" w:name="_Toc16652"/>
      <w:bookmarkStart w:id="61" w:name="_Toc7370"/>
    </w:p>
    <w:p>
      <w:pPr>
        <w:adjustRightInd w:val="0"/>
        <w:snapToGrid w:val="0"/>
        <w:ind w:firstLine="422" w:firstLineChars="200"/>
        <w:rPr>
          <w:b/>
        </w:rPr>
      </w:pPr>
      <w:r>
        <w:rPr>
          <w:b/>
        </w:rPr>
        <w:t xml:space="preserve">4.2.4  </w:t>
      </w:r>
      <w:r>
        <w:rPr>
          <w:rFonts w:hint="eastAsia"/>
          <w:b/>
        </w:rPr>
        <w:t>中剖面几何要素的计算</w:t>
      </w:r>
      <w:bookmarkEnd w:id="60"/>
      <w:bookmarkEnd w:id="61"/>
    </w:p>
    <w:p>
      <w:pPr>
        <w:adjustRightInd w:val="0"/>
        <w:snapToGrid w:val="0"/>
        <w:ind w:firstLine="420" w:firstLineChars="200"/>
      </w:pPr>
      <w:r>
        <w:t xml:space="preserve">4.2.4.1  </w:t>
      </w:r>
      <w:r>
        <w:rPr>
          <w:rFonts w:hint="eastAsia"/>
        </w:rPr>
        <w:t>计算的最小中剖面应在船中位置0.25L范围内。</w:t>
      </w:r>
    </w:p>
    <w:p>
      <w:pPr>
        <w:adjustRightInd w:val="0"/>
        <w:snapToGrid w:val="0"/>
        <w:ind w:firstLine="420" w:firstLineChars="200"/>
      </w:pPr>
      <w:r>
        <w:t xml:space="preserve">4.2.4.2  </w:t>
      </w:r>
      <w:r>
        <w:rPr>
          <w:rFonts w:hint="eastAsia"/>
        </w:rPr>
        <w:t>仅计入在船中位置0.4L范围内连续的纵向构件。</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62" w:name="_Toc70411346"/>
      <w:r>
        <w:rPr>
          <w:rFonts w:eastAsia="楷体"/>
          <w:b w:val="0"/>
          <w:bCs w:val="0"/>
          <w:snapToGrid w:val="0"/>
          <w:kern w:val="0"/>
          <w:sz w:val="28"/>
          <w:szCs w:val="20"/>
        </w:rPr>
        <w:t>第3节</w:t>
      </w:r>
      <w:bookmarkEnd w:id="57"/>
      <w:r>
        <w:rPr>
          <w:rFonts w:eastAsia="楷体"/>
          <w:b w:val="0"/>
          <w:bCs w:val="0"/>
          <w:snapToGrid w:val="0"/>
          <w:kern w:val="0"/>
          <w:sz w:val="28"/>
          <w:szCs w:val="20"/>
        </w:rPr>
        <w:t xml:space="preserve">  </w:t>
      </w:r>
      <w:r>
        <w:rPr>
          <w:rFonts w:hint="eastAsia" w:eastAsia="楷体"/>
          <w:b w:val="0"/>
          <w:bCs w:val="0"/>
          <w:snapToGrid w:val="0"/>
          <w:kern w:val="0"/>
          <w:sz w:val="28"/>
          <w:szCs w:val="20"/>
        </w:rPr>
        <w:t>板及</w:t>
      </w:r>
      <w:r>
        <w:rPr>
          <w:rFonts w:eastAsia="楷体"/>
          <w:b w:val="0"/>
          <w:bCs w:val="0"/>
          <w:snapToGrid w:val="0"/>
          <w:kern w:val="0"/>
          <w:sz w:val="28"/>
          <w:szCs w:val="20"/>
        </w:rPr>
        <w:t>骨架</w:t>
      </w:r>
      <w:bookmarkEnd w:id="62"/>
    </w:p>
    <w:p>
      <w:pPr>
        <w:adjustRightInd w:val="0"/>
        <w:snapToGrid w:val="0"/>
        <w:ind w:firstLine="422" w:firstLineChars="200"/>
        <w:rPr>
          <w:b/>
          <w:szCs w:val="21"/>
        </w:rPr>
      </w:pPr>
      <w:r>
        <w:rPr>
          <w:b/>
        </w:rPr>
        <w:t xml:space="preserve">4.3.1  </w:t>
      </w:r>
      <w:r>
        <w:rPr>
          <w:rFonts w:hint="eastAsia"/>
          <w:b/>
        </w:rPr>
        <w:t>外板及</w:t>
      </w:r>
      <w:r>
        <w:rPr>
          <w:b/>
        </w:rPr>
        <w:t>骨架</w:t>
      </w:r>
    </w:p>
    <w:p>
      <w:pPr>
        <w:adjustRightInd w:val="0"/>
        <w:snapToGrid w:val="0"/>
        <w:ind w:firstLine="420" w:firstLineChars="200"/>
      </w:pPr>
      <w:r>
        <w:t xml:space="preserve">4.3.1.1  </w:t>
      </w:r>
      <w:r>
        <w:rPr>
          <w:rFonts w:hint="eastAsia"/>
        </w:rPr>
        <w:t>外板</w:t>
      </w:r>
    </w:p>
    <w:p>
      <w:pPr>
        <w:adjustRightInd w:val="0"/>
        <w:snapToGrid w:val="0"/>
        <w:ind w:firstLine="420" w:firstLineChars="200"/>
      </w:pPr>
      <w:r>
        <w:rPr>
          <w:rFonts w:hint="eastAsia"/>
        </w:rPr>
        <w:t>（1）船体</w:t>
      </w:r>
      <w:r>
        <w:t>外板应尽可能采用等厚板厚</w:t>
      </w:r>
      <w:r>
        <w:rPr>
          <w:rFonts w:hint="eastAsia"/>
        </w:rPr>
        <w:t>。</w:t>
      </w:r>
    </w:p>
    <w:p>
      <w:pPr>
        <w:pStyle w:val="37"/>
        <w:ind w:firstLineChars="0"/>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）船长小于7m聚乙烯渔船，船体外板厚度t不应小于9mm。</w:t>
      </w:r>
    </w:p>
    <w:p>
      <w:pPr>
        <w:pStyle w:val="37"/>
        <w:ind w:firstLineChars="0"/>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）船长大于等于7m聚乙烯渔船，船体外板厚度</w:t>
      </w:r>
      <w:r>
        <w:rPr>
          <w:rFonts w:hint="eastAsia" w:ascii="Times New Roman" w:hAnsi="Times New Roman" w:eastAsia="宋体" w:cs="Times New Roman"/>
          <w:i/>
          <w:szCs w:val="20"/>
        </w:rPr>
        <w:t>t</w:t>
      </w:r>
      <w:r>
        <w:rPr>
          <w:rFonts w:hint="eastAsia" w:ascii="Times New Roman" w:hAnsi="Times New Roman" w:eastAsia="宋体" w:cs="Times New Roman"/>
          <w:szCs w:val="20"/>
        </w:rPr>
        <w:t>不应小于下式计算值，且不应小于10mm。</w:t>
      </w:r>
    </w:p>
    <w:p>
      <w:pPr>
        <w:adjustRightInd w:val="0"/>
        <w:snapToGrid w:val="0"/>
        <w:ind w:firstLine="420" w:firstLineChars="200"/>
        <w:jc w:val="center"/>
      </w:pPr>
      <w:r>
        <w:rPr>
          <w:rFonts w:ascii="宋体" w:hAnsi="宋体" w:cs="宋体"/>
          <w:position w:val="-26"/>
          <w:szCs w:val="21"/>
        </w:rPr>
        <w:pict>
          <v:shape id="_x0000_i1027" o:spt="75" type="#_x0000_t75" style="height:34.65pt;width:127pt;" filled="f" o:preferrelative="t" stroked="f" coordsize="21600,21600">
            <v:path/>
            <v:fill on="f" focussize="0,0"/>
            <v:stroke on="f" joinstyle="miter"/>
            <v:imagedata r:id="rId14" o:title=""/>
            <o:lock v:ext="edit" aspectratio="t"/>
            <w10:wrap type="none"/>
            <w10:anchorlock/>
          </v:shape>
        </w:pict>
      </w:r>
    </w:p>
    <w:p>
      <w:pPr>
        <w:pStyle w:val="37"/>
      </w:pPr>
      <w:r>
        <w:rPr>
          <w:rFonts w:hint="eastAsia"/>
        </w:rPr>
        <w:t>式中：</w:t>
      </w:r>
    </w:p>
    <w:p>
      <w:pPr>
        <w:adjustRightInd w:val="0"/>
        <w:snapToGrid w:val="0"/>
        <w:ind w:left="1470" w:leftChars="400" w:hanging="630" w:hangingChars="300"/>
        <w:jc w:val="left"/>
        <w:rPr>
          <w:i/>
          <w:iCs/>
        </w:rPr>
      </w:pPr>
      <w:r>
        <w:rPr>
          <w:rFonts w:hint="eastAsia"/>
          <w:i/>
          <w:iCs/>
        </w:rPr>
        <w:t>t</w:t>
      </w:r>
      <w:r>
        <w:rPr>
          <w:i/>
          <w:iCs/>
        </w:rPr>
        <w:t>——</w:t>
      </w:r>
      <w:r>
        <w:rPr>
          <w:rFonts w:hint="eastAsia"/>
          <w:iCs/>
        </w:rPr>
        <w:t>外板厚度，mm</w:t>
      </w:r>
      <w:r>
        <w:rPr>
          <w:i/>
          <w:iCs/>
        </w:rPr>
        <w:t>；</w:t>
      </w:r>
    </w:p>
    <w:p>
      <w:pPr>
        <w:adjustRightInd w:val="0"/>
        <w:snapToGrid w:val="0"/>
        <w:ind w:left="1470" w:leftChars="400" w:hanging="630" w:hangingChars="300"/>
        <w:jc w:val="left"/>
        <w:rPr>
          <w:i/>
          <w:iCs/>
        </w:rPr>
      </w:pPr>
      <w:r>
        <w:rPr>
          <w:i/>
          <w:iCs/>
        </w:rPr>
        <w:t>L——</w:t>
      </w:r>
      <w:r>
        <w:rPr>
          <w:iCs/>
        </w:rPr>
        <w:t>船长，m；</w:t>
      </w:r>
    </w:p>
    <w:p>
      <w:pPr>
        <w:adjustRightInd w:val="0"/>
        <w:snapToGrid w:val="0"/>
        <w:ind w:left="1470" w:leftChars="400" w:hanging="630" w:hangingChars="300"/>
        <w:jc w:val="left"/>
        <w:rPr>
          <w:iCs/>
        </w:rPr>
      </w:pPr>
      <w:r>
        <w:rPr>
          <w:i/>
          <w:iCs/>
        </w:rPr>
        <w:t>s——</w:t>
      </w:r>
      <w:r>
        <w:rPr>
          <w:iCs/>
        </w:rPr>
        <w:t>肋板间距，m；</w:t>
      </w:r>
    </w:p>
    <w:p>
      <w:pPr>
        <w:adjustRightInd w:val="0"/>
        <w:snapToGrid w:val="0"/>
        <w:ind w:left="1470" w:leftChars="400" w:hanging="630" w:hangingChars="300"/>
        <w:jc w:val="left"/>
        <w:rPr>
          <w:i/>
          <w:iCs/>
        </w:rPr>
      </w:pPr>
      <w:r>
        <w:rPr>
          <w:i/>
          <w:iCs/>
        </w:rPr>
        <w:t>K</w:t>
      </w:r>
      <w:r>
        <w:rPr>
          <w:iCs/>
        </w:rPr>
        <w:t>——低密度聚乙烯取1.0，</w:t>
      </w:r>
      <w:r>
        <w:rPr>
          <w:rFonts w:hint="eastAsia"/>
          <w:iCs/>
        </w:rPr>
        <w:t>线性低密度</w:t>
      </w:r>
      <w:r>
        <w:rPr>
          <w:iCs/>
        </w:rPr>
        <w:t>聚乙烯取0.85</w:t>
      </w:r>
      <w:r>
        <w:rPr>
          <w:rFonts w:hint="eastAsia"/>
          <w:iCs/>
        </w:rPr>
        <w:t>，</w:t>
      </w:r>
      <w:r>
        <w:rPr>
          <w:iCs/>
        </w:rPr>
        <w:t>高密度聚乙烯取0.72；</w:t>
      </w:r>
    </w:p>
    <w:p>
      <w:pPr>
        <w:adjustRightInd w:val="0"/>
        <w:snapToGrid w:val="0"/>
        <w:ind w:left="1470" w:leftChars="400" w:hanging="630" w:hangingChars="300"/>
        <w:jc w:val="left"/>
        <w:rPr>
          <w:i/>
          <w:iCs/>
        </w:rPr>
      </w:pPr>
      <w:r>
        <w:rPr>
          <w:i/>
          <w:iCs/>
        </w:rPr>
        <w:t>PF</w:t>
      </w:r>
      <w:r>
        <w:rPr>
          <w:i/>
          <w:iCs/>
          <w:vertAlign w:val="subscript"/>
        </w:rPr>
        <w:t>i</w:t>
      </w:r>
      <w:r>
        <w:rPr>
          <w:i/>
          <w:iCs/>
        </w:rPr>
        <w:t>——</w:t>
      </w:r>
      <w:r>
        <w:rPr>
          <w:iCs/>
        </w:rPr>
        <w:t>海水压力系数(</w:t>
      </w:r>
      <w:r>
        <w:rPr>
          <w:i/>
          <w:iCs/>
        </w:rPr>
        <w:t>PF</w:t>
      </w:r>
      <w:r>
        <w:rPr>
          <w:i/>
          <w:iCs/>
          <w:vertAlign w:val="subscript"/>
        </w:rPr>
        <w:t>b</w:t>
      </w:r>
      <w:r>
        <w:rPr>
          <w:iCs/>
        </w:rPr>
        <w:t>为船底部位、</w:t>
      </w:r>
      <w:r>
        <w:rPr>
          <w:i/>
          <w:iCs/>
        </w:rPr>
        <w:t>PF</w:t>
      </w:r>
      <w:r>
        <w:rPr>
          <w:i/>
          <w:iCs/>
          <w:vertAlign w:val="subscript"/>
        </w:rPr>
        <w:t>s</w:t>
      </w:r>
      <w:r>
        <w:rPr>
          <w:iCs/>
        </w:rPr>
        <w:t>为船侧部位；插值法，航速低于10节按10节取值，分别见</w:t>
      </w:r>
      <w:r>
        <w:rPr>
          <w:rFonts w:hint="eastAsia"/>
          <w:iCs/>
        </w:rPr>
        <w:t>图</w:t>
      </w:r>
      <w:r>
        <w:rPr>
          <w:iCs/>
        </w:rPr>
        <w:t>4.3.1.1-1、4.3.1.1-2）；</w:t>
      </w:r>
    </w:p>
    <w:p>
      <w:pPr>
        <w:adjustRightInd w:val="0"/>
        <w:snapToGrid w:val="0"/>
        <w:ind w:left="1470" w:leftChars="400" w:hanging="630" w:hangingChars="300"/>
        <w:jc w:val="left"/>
        <w:rPr>
          <w:i/>
          <w:iCs/>
        </w:rPr>
      </w:pPr>
      <w:r>
        <w:rPr>
          <w:i/>
          <w:iCs/>
        </w:rPr>
        <w:t>a——</w:t>
      </w:r>
      <w:r>
        <w:rPr>
          <w:iCs/>
        </w:rPr>
        <w:t>船体板厚折减系数，</w:t>
      </w:r>
      <w:r>
        <w:rPr>
          <w:rFonts w:hint="eastAsia"/>
          <w:iCs/>
        </w:rPr>
        <w:t>沿海</w:t>
      </w:r>
      <w:r>
        <w:rPr>
          <w:iCs/>
        </w:rPr>
        <w:t>及</w:t>
      </w:r>
      <w:r>
        <w:rPr>
          <w:rFonts w:hint="eastAsia"/>
          <w:iCs/>
        </w:rPr>
        <w:t>A级</w:t>
      </w:r>
      <w:r>
        <w:rPr>
          <w:iCs/>
        </w:rPr>
        <w:t>航区为</w:t>
      </w:r>
      <w:r>
        <w:rPr>
          <w:rFonts w:hint="eastAsia"/>
          <w:iCs/>
        </w:rPr>
        <w:t>1，</w:t>
      </w:r>
      <w:r>
        <w:rPr>
          <w:iCs/>
        </w:rPr>
        <w:t>B级及C级航区为0.85。</w:t>
      </w:r>
    </w:p>
    <w:p>
      <w:pPr>
        <w:adjustRightInd w:val="0"/>
        <w:snapToGrid w:val="0"/>
        <w:jc w:val="center"/>
        <w:rPr>
          <w:szCs w:val="21"/>
        </w:rPr>
      </w:pPr>
      <w:r>
        <w:rPr>
          <w:szCs w:val="21"/>
        </w:rPr>
        <w:drawing>
          <wp:inline distT="0" distB="0" distL="0" distR="0">
            <wp:extent cx="3962400" cy="3981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962400" cy="3981450"/>
                    </a:xfrm>
                    <a:prstGeom prst="rect">
                      <a:avLst/>
                    </a:prstGeom>
                    <a:noFill/>
                    <a:ln>
                      <a:noFill/>
                    </a:ln>
                    <a:effectLst/>
                  </pic:spPr>
                </pic:pic>
              </a:graphicData>
            </a:graphic>
          </wp:inline>
        </w:drawing>
      </w:r>
    </w:p>
    <w:p>
      <w:pPr>
        <w:adjustRightInd w:val="0"/>
        <w:snapToGrid w:val="0"/>
        <w:jc w:val="center"/>
        <w:rPr>
          <w:iCs/>
        </w:rPr>
      </w:pPr>
      <w:r>
        <w:rPr>
          <w:rFonts w:hint="eastAsia"/>
          <w:iCs/>
        </w:rPr>
        <w:t>图</w:t>
      </w:r>
      <w:r>
        <w:rPr>
          <w:iCs/>
        </w:rPr>
        <w:t xml:space="preserve">4.3.1.1-1  </w:t>
      </w:r>
      <w:r>
        <w:rPr>
          <w:rFonts w:hint="eastAsia"/>
          <w:szCs w:val="21"/>
        </w:rPr>
        <w:t>船底海水压力系</w:t>
      </w:r>
    </w:p>
    <w:p>
      <w:pPr>
        <w:adjustRightInd w:val="0"/>
        <w:snapToGrid w:val="0"/>
        <w:jc w:val="center"/>
        <w:rPr>
          <w:szCs w:val="21"/>
        </w:rPr>
      </w:pPr>
      <w:r>
        <w:rPr>
          <w:szCs w:val="21"/>
        </w:rPr>
        <w:drawing>
          <wp:inline distT="0" distB="0" distL="0" distR="0">
            <wp:extent cx="3105150" cy="29076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a:extLst>
                        <a:ext uri="{28A0092B-C50C-407E-A947-70E740481C1C}">
                          <a14:useLocalDpi xmlns:a14="http://schemas.microsoft.com/office/drawing/2010/main" val="0"/>
                        </a:ext>
                      </a:extLst>
                    </a:blip>
                    <a:srcRect l="4883"/>
                    <a:stretch>
                      <a:fillRect/>
                    </a:stretch>
                  </pic:blipFill>
                  <pic:spPr>
                    <a:xfrm>
                      <a:off x="0" y="0"/>
                      <a:ext cx="3111713" cy="2913562"/>
                    </a:xfrm>
                    <a:prstGeom prst="rect">
                      <a:avLst/>
                    </a:prstGeom>
                    <a:noFill/>
                    <a:ln>
                      <a:noFill/>
                    </a:ln>
                  </pic:spPr>
                </pic:pic>
              </a:graphicData>
            </a:graphic>
          </wp:inline>
        </w:drawing>
      </w:r>
    </w:p>
    <w:p>
      <w:pPr>
        <w:adjustRightInd w:val="0"/>
        <w:snapToGrid w:val="0"/>
        <w:ind w:firstLine="420" w:firstLineChars="200"/>
        <w:jc w:val="center"/>
        <w:rPr>
          <w:iCs/>
        </w:rPr>
      </w:pPr>
      <w:r>
        <w:rPr>
          <w:rFonts w:hint="eastAsia"/>
          <w:iCs/>
        </w:rPr>
        <w:t>图</w:t>
      </w:r>
      <w:r>
        <w:rPr>
          <w:iCs/>
        </w:rPr>
        <w:t xml:space="preserve">4.3.1.1-2  </w:t>
      </w:r>
      <w:r>
        <w:rPr>
          <w:rFonts w:hint="eastAsia"/>
          <w:iCs/>
        </w:rPr>
        <w:t>船侧海水压力系</w:t>
      </w:r>
    </w:p>
    <w:p>
      <w:pPr>
        <w:adjustRightInd w:val="0"/>
        <w:snapToGrid w:val="0"/>
        <w:ind w:firstLine="420" w:firstLineChars="200"/>
        <w:jc w:val="center"/>
        <w:rPr>
          <w:iCs/>
        </w:rPr>
      </w:pPr>
    </w:p>
    <w:p>
      <w:pPr>
        <w:adjustRightInd w:val="0"/>
        <w:snapToGrid w:val="0"/>
        <w:ind w:firstLine="420" w:firstLineChars="200"/>
      </w:pPr>
      <w:r>
        <w:rPr>
          <w:rFonts w:hint="eastAsia"/>
        </w:rPr>
        <w:t>（</w:t>
      </w:r>
      <w:r>
        <w:t>4</w:t>
      </w:r>
      <w:r>
        <w:rPr>
          <w:rFonts w:hint="eastAsia"/>
        </w:rPr>
        <w:t>）航速</w:t>
      </w:r>
      <w:r>
        <w:t>小于或等于</w:t>
      </w:r>
      <w:r>
        <w:rPr>
          <w:rFonts w:hint="eastAsia"/>
        </w:rPr>
        <w:t>10</w:t>
      </w:r>
      <w:r>
        <w:t>kn</w:t>
      </w:r>
      <w:r>
        <w:rPr>
          <w:rFonts w:hint="eastAsia"/>
        </w:rPr>
        <w:t>的</w:t>
      </w:r>
      <w:r>
        <w:t>聚乙烯渔船，</w:t>
      </w:r>
      <w:r>
        <w:rPr>
          <w:rFonts w:hint="eastAsia"/>
        </w:rPr>
        <w:t>船底外板</w:t>
      </w:r>
      <w:r>
        <w:t>和船侧外板</w:t>
      </w:r>
      <w:r>
        <w:rPr>
          <w:rFonts w:hint="eastAsia"/>
        </w:rPr>
        <w:t>板厚</w:t>
      </w:r>
      <w:r>
        <w:t>也可按</w:t>
      </w:r>
      <w:r>
        <w:rPr>
          <w:rFonts w:hint="eastAsia"/>
        </w:rPr>
        <w:t>下表计算</w:t>
      </w:r>
      <w:r>
        <w:t>，</w:t>
      </w:r>
      <w:r>
        <w:rPr>
          <w:rFonts w:hint="eastAsia"/>
        </w:rPr>
        <w:t>或</w:t>
      </w:r>
      <w:r>
        <w:t>插值计算</w:t>
      </w:r>
      <w:r>
        <w:rPr>
          <w:rFonts w:hint="eastAsia"/>
        </w:rPr>
        <w:t>。</w:t>
      </w:r>
    </w:p>
    <w:p>
      <w:pPr>
        <w:wordWrap w:val="0"/>
        <w:adjustRightInd w:val="0"/>
        <w:snapToGrid w:val="0"/>
        <w:ind w:firstLine="420" w:firstLineChars="200"/>
        <w:jc w:val="right"/>
        <w:rPr>
          <w:rFonts w:eastAsia="黑体"/>
          <w:snapToGrid w:val="0"/>
          <w:kern w:val="0"/>
          <w:szCs w:val="21"/>
        </w:rPr>
      </w:pPr>
      <w:r>
        <w:rPr>
          <w:rFonts w:hint="eastAsia" w:eastAsia="黑体"/>
          <w:snapToGrid w:val="0"/>
          <w:kern w:val="0"/>
          <w:szCs w:val="21"/>
        </w:rPr>
        <w:t>船底外板</w:t>
      </w:r>
      <w:r>
        <w:rPr>
          <w:rFonts w:eastAsia="黑体"/>
          <w:snapToGrid w:val="0"/>
          <w:kern w:val="0"/>
          <w:szCs w:val="21"/>
        </w:rPr>
        <w:t>和船侧外板</w:t>
      </w:r>
      <w:r>
        <w:rPr>
          <w:rFonts w:hint="eastAsia" w:eastAsia="黑体"/>
          <w:snapToGrid w:val="0"/>
          <w:kern w:val="0"/>
          <w:szCs w:val="21"/>
        </w:rPr>
        <w:t xml:space="preserve">板厚 </w:t>
      </w:r>
      <w:r>
        <w:rPr>
          <w:rFonts w:eastAsia="黑体"/>
          <w:snapToGrid w:val="0"/>
          <w:kern w:val="0"/>
          <w:szCs w:val="21"/>
        </w:rPr>
        <w:t xml:space="preserve">           </w:t>
      </w:r>
      <w:r>
        <w:rPr>
          <w:rFonts w:hint="eastAsia" w:eastAsia="黑体"/>
          <w:snapToGrid w:val="0"/>
          <w:kern w:val="0"/>
          <w:szCs w:val="21"/>
        </w:rPr>
        <w:t xml:space="preserve">     表4.3.1.1（4）</w:t>
      </w:r>
    </w:p>
    <w:tbl>
      <w:tblPr>
        <w:tblStyle w:val="15"/>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1188"/>
        <w:gridCol w:w="1134"/>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Merge w:val="restart"/>
            <w:tcBorders>
              <w:tl2br w:val="single" w:color="auto" w:sz="4" w:space="0"/>
            </w:tcBorders>
            <w:vAlign w:val="center"/>
          </w:tcPr>
          <w:p>
            <w:pPr>
              <w:adjustRightInd w:val="0"/>
              <w:snapToGrid w:val="0"/>
              <w:jc w:val="left"/>
            </w:pPr>
            <w:r>
              <w:rPr>
                <w:rFonts w:hint="eastAsia"/>
              </w:rPr>
              <w:t>板厚（</w:t>
            </w:r>
            <w:r>
              <w:t>mm</w:t>
            </w:r>
            <w:r>
              <w:rPr>
                <w:rFonts w:hint="eastAsia"/>
              </w:rPr>
              <w:t>）</w:t>
            </w:r>
          </w:p>
          <w:p>
            <w:pPr>
              <w:adjustRightInd w:val="0"/>
              <w:snapToGrid w:val="0"/>
              <w:jc w:val="left"/>
            </w:pPr>
            <w:r>
              <w:rPr>
                <w:rFonts w:hint="eastAsia"/>
              </w:rPr>
              <w:t>船长</w:t>
            </w:r>
            <w:r>
              <w:t>（</w:t>
            </w:r>
            <w:r>
              <w:rPr>
                <w:rFonts w:hint="eastAsia"/>
              </w:rPr>
              <w:t>m</w:t>
            </w:r>
            <w:r>
              <w:t>）</w:t>
            </w:r>
          </w:p>
        </w:tc>
        <w:tc>
          <w:tcPr>
            <w:tcW w:w="2322" w:type="dxa"/>
            <w:gridSpan w:val="2"/>
            <w:vAlign w:val="center"/>
          </w:tcPr>
          <w:p>
            <w:pPr>
              <w:adjustRightInd w:val="0"/>
              <w:snapToGrid w:val="0"/>
              <w:ind w:firstLine="420" w:firstLineChars="200"/>
              <w:jc w:val="left"/>
            </w:pPr>
            <w:r>
              <w:t>低密度聚乙烯</w:t>
            </w:r>
          </w:p>
        </w:tc>
        <w:tc>
          <w:tcPr>
            <w:tcW w:w="2268" w:type="dxa"/>
            <w:gridSpan w:val="2"/>
            <w:vAlign w:val="center"/>
          </w:tcPr>
          <w:p>
            <w:pPr>
              <w:adjustRightInd w:val="0"/>
              <w:snapToGrid w:val="0"/>
              <w:jc w:val="center"/>
            </w:pPr>
            <w:r>
              <w:rPr>
                <w:rFonts w:hint="eastAsia"/>
              </w:rPr>
              <w:t>线性低</w:t>
            </w:r>
            <w:r>
              <w:t>密度聚乙烯</w:t>
            </w:r>
          </w:p>
        </w:tc>
        <w:tc>
          <w:tcPr>
            <w:tcW w:w="2268" w:type="dxa"/>
            <w:gridSpan w:val="2"/>
            <w:vAlign w:val="center"/>
          </w:tcPr>
          <w:p>
            <w:pPr>
              <w:adjustRightInd w:val="0"/>
              <w:snapToGrid w:val="0"/>
              <w:ind w:firstLine="420" w:firstLineChars="200"/>
              <w:jc w:val="left"/>
            </w:pPr>
            <w:r>
              <w:t>高密度聚乙烯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Merge w:val="continue"/>
            <w:vAlign w:val="center"/>
          </w:tcPr>
          <w:p>
            <w:pPr>
              <w:adjustRightInd w:val="0"/>
              <w:snapToGrid w:val="0"/>
              <w:ind w:firstLine="420" w:firstLineChars="200"/>
              <w:jc w:val="left"/>
            </w:pPr>
          </w:p>
        </w:tc>
        <w:tc>
          <w:tcPr>
            <w:tcW w:w="1188" w:type="dxa"/>
            <w:vAlign w:val="center"/>
          </w:tcPr>
          <w:p>
            <w:pPr>
              <w:adjustRightInd w:val="0"/>
              <w:snapToGrid w:val="0"/>
              <w:jc w:val="left"/>
            </w:pPr>
            <w:r>
              <w:t>船底外板</w:t>
            </w:r>
          </w:p>
        </w:tc>
        <w:tc>
          <w:tcPr>
            <w:tcW w:w="1134" w:type="dxa"/>
            <w:vAlign w:val="center"/>
          </w:tcPr>
          <w:p>
            <w:pPr>
              <w:adjustRightInd w:val="0"/>
              <w:snapToGrid w:val="0"/>
              <w:jc w:val="left"/>
            </w:pPr>
            <w:r>
              <w:t>船侧外板</w:t>
            </w:r>
          </w:p>
        </w:tc>
        <w:tc>
          <w:tcPr>
            <w:tcW w:w="1134" w:type="dxa"/>
            <w:vAlign w:val="center"/>
          </w:tcPr>
          <w:p>
            <w:pPr>
              <w:adjustRightInd w:val="0"/>
              <w:snapToGrid w:val="0"/>
              <w:jc w:val="left"/>
            </w:pPr>
            <w:r>
              <w:t>船底外板</w:t>
            </w:r>
          </w:p>
        </w:tc>
        <w:tc>
          <w:tcPr>
            <w:tcW w:w="1134" w:type="dxa"/>
            <w:vAlign w:val="center"/>
          </w:tcPr>
          <w:p>
            <w:pPr>
              <w:adjustRightInd w:val="0"/>
              <w:snapToGrid w:val="0"/>
              <w:jc w:val="left"/>
            </w:pPr>
            <w:r>
              <w:t>船侧外板</w:t>
            </w:r>
          </w:p>
        </w:tc>
        <w:tc>
          <w:tcPr>
            <w:tcW w:w="1134" w:type="dxa"/>
            <w:vAlign w:val="center"/>
          </w:tcPr>
          <w:p>
            <w:pPr>
              <w:adjustRightInd w:val="0"/>
              <w:snapToGrid w:val="0"/>
              <w:jc w:val="left"/>
            </w:pPr>
            <w:r>
              <w:t>船底外板</w:t>
            </w:r>
          </w:p>
        </w:tc>
        <w:tc>
          <w:tcPr>
            <w:tcW w:w="1134" w:type="dxa"/>
            <w:vAlign w:val="center"/>
          </w:tcPr>
          <w:p>
            <w:pPr>
              <w:adjustRightInd w:val="0"/>
              <w:snapToGrid w:val="0"/>
              <w:jc w:val="left"/>
            </w:pPr>
            <w:r>
              <w:t>船侧外板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5</w:t>
            </w:r>
          </w:p>
        </w:tc>
        <w:tc>
          <w:tcPr>
            <w:tcW w:w="1188" w:type="dxa"/>
            <w:vAlign w:val="center"/>
          </w:tcPr>
          <w:p>
            <w:pPr>
              <w:adjustRightInd w:val="0"/>
              <w:snapToGrid w:val="0"/>
              <w:ind w:firstLine="420" w:firstLineChars="200"/>
              <w:jc w:val="left"/>
            </w:pPr>
            <w:r>
              <w:t>13</w:t>
            </w:r>
          </w:p>
        </w:tc>
        <w:tc>
          <w:tcPr>
            <w:tcW w:w="1134" w:type="dxa"/>
            <w:vAlign w:val="center"/>
          </w:tcPr>
          <w:p>
            <w:pPr>
              <w:adjustRightInd w:val="0"/>
              <w:snapToGrid w:val="0"/>
              <w:ind w:firstLine="420" w:firstLineChars="200"/>
              <w:jc w:val="left"/>
            </w:pPr>
            <w:r>
              <w:t>13</w:t>
            </w:r>
          </w:p>
        </w:tc>
        <w:tc>
          <w:tcPr>
            <w:tcW w:w="1134" w:type="dxa"/>
            <w:vAlign w:val="center"/>
          </w:tcPr>
          <w:p>
            <w:pPr>
              <w:adjustRightInd w:val="0"/>
              <w:snapToGrid w:val="0"/>
              <w:ind w:firstLine="420" w:firstLineChars="200"/>
              <w:jc w:val="left"/>
            </w:pPr>
            <w:r>
              <w:t>11</w:t>
            </w:r>
          </w:p>
        </w:tc>
        <w:tc>
          <w:tcPr>
            <w:tcW w:w="1134" w:type="dxa"/>
            <w:vAlign w:val="center"/>
          </w:tcPr>
          <w:p>
            <w:pPr>
              <w:adjustRightInd w:val="0"/>
              <w:snapToGrid w:val="0"/>
              <w:ind w:firstLine="420" w:firstLineChars="200"/>
              <w:jc w:val="left"/>
            </w:pPr>
            <w:r>
              <w:t>11</w:t>
            </w:r>
          </w:p>
        </w:tc>
        <w:tc>
          <w:tcPr>
            <w:tcW w:w="1134" w:type="dxa"/>
            <w:vAlign w:val="center"/>
          </w:tcPr>
          <w:p>
            <w:pPr>
              <w:adjustRightInd w:val="0"/>
              <w:snapToGrid w:val="0"/>
              <w:ind w:firstLine="420" w:firstLineChars="200"/>
              <w:jc w:val="left"/>
            </w:pPr>
            <w:r>
              <w:t>9</w:t>
            </w:r>
          </w:p>
        </w:tc>
        <w:tc>
          <w:tcPr>
            <w:tcW w:w="1134" w:type="dxa"/>
            <w:vAlign w:val="center"/>
          </w:tcPr>
          <w:p>
            <w:pPr>
              <w:adjustRightInd w:val="0"/>
              <w:snapToGrid w:val="0"/>
              <w:ind w:firstLine="420" w:firstLineChars="200"/>
              <w:jc w:val="left"/>
            </w:pPr>
            <w: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6</w:t>
            </w:r>
          </w:p>
        </w:tc>
        <w:tc>
          <w:tcPr>
            <w:tcW w:w="1188" w:type="dxa"/>
            <w:vAlign w:val="center"/>
          </w:tcPr>
          <w:p>
            <w:pPr>
              <w:adjustRightInd w:val="0"/>
              <w:snapToGrid w:val="0"/>
              <w:ind w:firstLine="420" w:firstLineChars="200"/>
              <w:jc w:val="left"/>
            </w:pPr>
            <w:r>
              <w:t>15</w:t>
            </w:r>
          </w:p>
        </w:tc>
        <w:tc>
          <w:tcPr>
            <w:tcW w:w="1134" w:type="dxa"/>
            <w:vAlign w:val="center"/>
          </w:tcPr>
          <w:p>
            <w:pPr>
              <w:adjustRightInd w:val="0"/>
              <w:snapToGrid w:val="0"/>
              <w:ind w:firstLine="420" w:firstLineChars="200"/>
              <w:jc w:val="left"/>
            </w:pPr>
            <w:r>
              <w:t>14</w:t>
            </w:r>
          </w:p>
        </w:tc>
        <w:tc>
          <w:tcPr>
            <w:tcW w:w="1134" w:type="dxa"/>
            <w:vAlign w:val="center"/>
          </w:tcPr>
          <w:p>
            <w:pPr>
              <w:adjustRightInd w:val="0"/>
              <w:snapToGrid w:val="0"/>
              <w:ind w:firstLine="420" w:firstLineChars="200"/>
              <w:jc w:val="left"/>
            </w:pPr>
            <w:r>
              <w:t>13</w:t>
            </w:r>
          </w:p>
        </w:tc>
        <w:tc>
          <w:tcPr>
            <w:tcW w:w="1134" w:type="dxa"/>
            <w:vAlign w:val="center"/>
          </w:tcPr>
          <w:p>
            <w:pPr>
              <w:adjustRightInd w:val="0"/>
              <w:snapToGrid w:val="0"/>
              <w:ind w:firstLine="420" w:firstLineChars="200"/>
              <w:jc w:val="left"/>
            </w:pPr>
            <w:r>
              <w:t>12</w:t>
            </w:r>
          </w:p>
        </w:tc>
        <w:tc>
          <w:tcPr>
            <w:tcW w:w="1134" w:type="dxa"/>
            <w:vAlign w:val="center"/>
          </w:tcPr>
          <w:p>
            <w:pPr>
              <w:adjustRightInd w:val="0"/>
              <w:snapToGrid w:val="0"/>
              <w:ind w:firstLine="420" w:firstLineChars="200"/>
              <w:jc w:val="left"/>
            </w:pPr>
            <w:r>
              <w:t>11</w:t>
            </w:r>
          </w:p>
        </w:tc>
        <w:tc>
          <w:tcPr>
            <w:tcW w:w="1134" w:type="dxa"/>
            <w:vAlign w:val="center"/>
          </w:tcPr>
          <w:p>
            <w:pPr>
              <w:adjustRightInd w:val="0"/>
              <w:snapToGrid w:val="0"/>
              <w:ind w:firstLine="420" w:firstLineChars="200"/>
              <w:jc w:val="left"/>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7</w:t>
            </w:r>
          </w:p>
        </w:tc>
        <w:tc>
          <w:tcPr>
            <w:tcW w:w="1188" w:type="dxa"/>
            <w:vAlign w:val="center"/>
          </w:tcPr>
          <w:p>
            <w:pPr>
              <w:adjustRightInd w:val="0"/>
              <w:snapToGrid w:val="0"/>
              <w:ind w:firstLine="420" w:firstLineChars="200"/>
              <w:jc w:val="left"/>
            </w:pPr>
            <w:r>
              <w:t>16</w:t>
            </w:r>
          </w:p>
        </w:tc>
        <w:tc>
          <w:tcPr>
            <w:tcW w:w="1134" w:type="dxa"/>
            <w:vAlign w:val="center"/>
          </w:tcPr>
          <w:p>
            <w:pPr>
              <w:adjustRightInd w:val="0"/>
              <w:snapToGrid w:val="0"/>
              <w:ind w:firstLine="420" w:firstLineChars="200"/>
              <w:jc w:val="left"/>
            </w:pPr>
            <w:r>
              <w:t>15</w:t>
            </w:r>
          </w:p>
        </w:tc>
        <w:tc>
          <w:tcPr>
            <w:tcW w:w="1134" w:type="dxa"/>
            <w:vAlign w:val="center"/>
          </w:tcPr>
          <w:p>
            <w:pPr>
              <w:adjustRightInd w:val="0"/>
              <w:snapToGrid w:val="0"/>
              <w:ind w:firstLine="420" w:firstLineChars="200"/>
              <w:jc w:val="left"/>
            </w:pPr>
            <w:r>
              <w:t>14</w:t>
            </w:r>
          </w:p>
        </w:tc>
        <w:tc>
          <w:tcPr>
            <w:tcW w:w="1134" w:type="dxa"/>
            <w:vAlign w:val="center"/>
          </w:tcPr>
          <w:p>
            <w:pPr>
              <w:adjustRightInd w:val="0"/>
              <w:snapToGrid w:val="0"/>
              <w:ind w:firstLine="420" w:firstLineChars="200"/>
              <w:jc w:val="left"/>
            </w:pPr>
            <w:r>
              <w:t>13</w:t>
            </w:r>
          </w:p>
        </w:tc>
        <w:tc>
          <w:tcPr>
            <w:tcW w:w="1134" w:type="dxa"/>
            <w:vAlign w:val="center"/>
          </w:tcPr>
          <w:p>
            <w:pPr>
              <w:adjustRightInd w:val="0"/>
              <w:snapToGrid w:val="0"/>
              <w:ind w:firstLine="420" w:firstLineChars="200"/>
              <w:jc w:val="left"/>
            </w:pPr>
            <w:r>
              <w:t>12</w:t>
            </w:r>
          </w:p>
        </w:tc>
        <w:tc>
          <w:tcPr>
            <w:tcW w:w="1134" w:type="dxa"/>
            <w:vAlign w:val="center"/>
          </w:tcPr>
          <w:p>
            <w:pPr>
              <w:adjustRightInd w:val="0"/>
              <w:snapToGrid w:val="0"/>
              <w:ind w:firstLine="420" w:firstLineChars="200"/>
              <w:jc w:val="left"/>
            </w:pPr>
            <w: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8</w:t>
            </w:r>
          </w:p>
        </w:tc>
        <w:tc>
          <w:tcPr>
            <w:tcW w:w="1188" w:type="dxa"/>
            <w:vAlign w:val="center"/>
          </w:tcPr>
          <w:p>
            <w:pPr>
              <w:adjustRightInd w:val="0"/>
              <w:snapToGrid w:val="0"/>
              <w:ind w:firstLine="420" w:firstLineChars="200"/>
              <w:jc w:val="left"/>
            </w:pPr>
            <w:r>
              <w:t>17</w:t>
            </w:r>
          </w:p>
        </w:tc>
        <w:tc>
          <w:tcPr>
            <w:tcW w:w="1134" w:type="dxa"/>
            <w:vAlign w:val="center"/>
          </w:tcPr>
          <w:p>
            <w:pPr>
              <w:adjustRightInd w:val="0"/>
              <w:snapToGrid w:val="0"/>
              <w:ind w:firstLine="420" w:firstLineChars="200"/>
              <w:jc w:val="left"/>
            </w:pPr>
            <w:r>
              <w:t>16</w:t>
            </w:r>
          </w:p>
        </w:tc>
        <w:tc>
          <w:tcPr>
            <w:tcW w:w="1134" w:type="dxa"/>
            <w:vAlign w:val="center"/>
          </w:tcPr>
          <w:p>
            <w:pPr>
              <w:adjustRightInd w:val="0"/>
              <w:snapToGrid w:val="0"/>
              <w:ind w:firstLine="420" w:firstLineChars="200"/>
              <w:jc w:val="left"/>
            </w:pPr>
            <w:r>
              <w:t>15</w:t>
            </w:r>
          </w:p>
        </w:tc>
        <w:tc>
          <w:tcPr>
            <w:tcW w:w="1134" w:type="dxa"/>
            <w:vAlign w:val="center"/>
          </w:tcPr>
          <w:p>
            <w:pPr>
              <w:adjustRightInd w:val="0"/>
              <w:snapToGrid w:val="0"/>
              <w:ind w:firstLine="420" w:firstLineChars="200"/>
              <w:jc w:val="left"/>
            </w:pPr>
            <w:r>
              <w:t>14</w:t>
            </w:r>
          </w:p>
        </w:tc>
        <w:tc>
          <w:tcPr>
            <w:tcW w:w="1134" w:type="dxa"/>
            <w:vAlign w:val="center"/>
          </w:tcPr>
          <w:p>
            <w:pPr>
              <w:adjustRightInd w:val="0"/>
              <w:snapToGrid w:val="0"/>
              <w:ind w:firstLine="420" w:firstLineChars="200"/>
              <w:jc w:val="left"/>
            </w:pPr>
            <w:r>
              <w:t>13</w:t>
            </w:r>
          </w:p>
        </w:tc>
        <w:tc>
          <w:tcPr>
            <w:tcW w:w="1134" w:type="dxa"/>
            <w:vAlign w:val="center"/>
          </w:tcPr>
          <w:p>
            <w:pPr>
              <w:adjustRightInd w:val="0"/>
              <w:snapToGrid w:val="0"/>
              <w:ind w:firstLine="420" w:firstLineChars="200"/>
              <w:jc w:val="left"/>
            </w:pPr>
            <w: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9</w:t>
            </w:r>
          </w:p>
        </w:tc>
        <w:tc>
          <w:tcPr>
            <w:tcW w:w="1188" w:type="dxa"/>
            <w:vAlign w:val="center"/>
          </w:tcPr>
          <w:p>
            <w:pPr>
              <w:adjustRightInd w:val="0"/>
              <w:snapToGrid w:val="0"/>
              <w:ind w:firstLine="420" w:firstLineChars="200"/>
              <w:jc w:val="left"/>
            </w:pPr>
            <w:r>
              <w:t>19</w:t>
            </w:r>
          </w:p>
        </w:tc>
        <w:tc>
          <w:tcPr>
            <w:tcW w:w="1134" w:type="dxa"/>
            <w:vAlign w:val="center"/>
          </w:tcPr>
          <w:p>
            <w:pPr>
              <w:adjustRightInd w:val="0"/>
              <w:snapToGrid w:val="0"/>
              <w:ind w:firstLine="420" w:firstLineChars="200"/>
              <w:jc w:val="left"/>
            </w:pPr>
            <w:r>
              <w:t>18</w:t>
            </w:r>
          </w:p>
        </w:tc>
        <w:tc>
          <w:tcPr>
            <w:tcW w:w="1134" w:type="dxa"/>
            <w:vAlign w:val="center"/>
          </w:tcPr>
          <w:p>
            <w:pPr>
              <w:adjustRightInd w:val="0"/>
              <w:snapToGrid w:val="0"/>
              <w:ind w:firstLine="420" w:firstLineChars="200"/>
              <w:jc w:val="left"/>
            </w:pPr>
            <w:r>
              <w:t>16</w:t>
            </w:r>
          </w:p>
        </w:tc>
        <w:tc>
          <w:tcPr>
            <w:tcW w:w="1134" w:type="dxa"/>
            <w:vAlign w:val="center"/>
          </w:tcPr>
          <w:p>
            <w:pPr>
              <w:adjustRightInd w:val="0"/>
              <w:snapToGrid w:val="0"/>
              <w:ind w:firstLine="420" w:firstLineChars="200"/>
              <w:jc w:val="left"/>
            </w:pPr>
            <w:r>
              <w:t>16</w:t>
            </w:r>
          </w:p>
        </w:tc>
        <w:tc>
          <w:tcPr>
            <w:tcW w:w="1134" w:type="dxa"/>
            <w:vAlign w:val="center"/>
          </w:tcPr>
          <w:p>
            <w:pPr>
              <w:adjustRightInd w:val="0"/>
              <w:snapToGrid w:val="0"/>
              <w:ind w:firstLine="420" w:firstLineChars="200"/>
              <w:jc w:val="left"/>
            </w:pPr>
            <w:r>
              <w:t>14</w:t>
            </w:r>
          </w:p>
        </w:tc>
        <w:tc>
          <w:tcPr>
            <w:tcW w:w="1134" w:type="dxa"/>
            <w:vAlign w:val="center"/>
          </w:tcPr>
          <w:p>
            <w:pPr>
              <w:adjustRightInd w:val="0"/>
              <w:snapToGrid w:val="0"/>
              <w:ind w:firstLine="420" w:firstLineChars="200"/>
              <w:jc w:val="left"/>
            </w:pPr>
            <w: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10</w:t>
            </w:r>
          </w:p>
        </w:tc>
        <w:tc>
          <w:tcPr>
            <w:tcW w:w="1188" w:type="dxa"/>
            <w:vAlign w:val="center"/>
          </w:tcPr>
          <w:p>
            <w:pPr>
              <w:adjustRightInd w:val="0"/>
              <w:snapToGrid w:val="0"/>
              <w:ind w:firstLine="420" w:firstLineChars="200"/>
              <w:jc w:val="left"/>
            </w:pPr>
            <w:r>
              <w:t>21</w:t>
            </w:r>
          </w:p>
        </w:tc>
        <w:tc>
          <w:tcPr>
            <w:tcW w:w="1134" w:type="dxa"/>
            <w:vAlign w:val="center"/>
          </w:tcPr>
          <w:p>
            <w:pPr>
              <w:adjustRightInd w:val="0"/>
              <w:snapToGrid w:val="0"/>
              <w:ind w:firstLine="420" w:firstLineChars="200"/>
              <w:jc w:val="left"/>
            </w:pPr>
            <w:r>
              <w:t>20</w:t>
            </w:r>
          </w:p>
        </w:tc>
        <w:tc>
          <w:tcPr>
            <w:tcW w:w="1134" w:type="dxa"/>
            <w:vAlign w:val="center"/>
          </w:tcPr>
          <w:p>
            <w:pPr>
              <w:adjustRightInd w:val="0"/>
              <w:snapToGrid w:val="0"/>
              <w:ind w:firstLine="420" w:firstLineChars="200"/>
              <w:jc w:val="left"/>
            </w:pPr>
            <w:r>
              <w:t>18</w:t>
            </w:r>
          </w:p>
        </w:tc>
        <w:tc>
          <w:tcPr>
            <w:tcW w:w="1134" w:type="dxa"/>
            <w:vAlign w:val="center"/>
          </w:tcPr>
          <w:p>
            <w:pPr>
              <w:adjustRightInd w:val="0"/>
              <w:snapToGrid w:val="0"/>
              <w:ind w:firstLine="420" w:firstLineChars="200"/>
              <w:jc w:val="left"/>
            </w:pPr>
            <w:r>
              <w:t>17</w:t>
            </w:r>
          </w:p>
        </w:tc>
        <w:tc>
          <w:tcPr>
            <w:tcW w:w="1134" w:type="dxa"/>
            <w:vAlign w:val="center"/>
          </w:tcPr>
          <w:p>
            <w:pPr>
              <w:adjustRightInd w:val="0"/>
              <w:snapToGrid w:val="0"/>
              <w:ind w:firstLine="420" w:firstLineChars="200"/>
              <w:jc w:val="left"/>
            </w:pPr>
            <w:r>
              <w:t>15</w:t>
            </w:r>
          </w:p>
        </w:tc>
        <w:tc>
          <w:tcPr>
            <w:tcW w:w="1134" w:type="dxa"/>
            <w:vAlign w:val="center"/>
          </w:tcPr>
          <w:p>
            <w:pPr>
              <w:adjustRightInd w:val="0"/>
              <w:snapToGrid w:val="0"/>
              <w:ind w:firstLine="420" w:firstLineChars="200"/>
              <w:jc w:val="left"/>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11</w:t>
            </w:r>
          </w:p>
        </w:tc>
        <w:tc>
          <w:tcPr>
            <w:tcW w:w="1188" w:type="dxa"/>
            <w:vAlign w:val="center"/>
          </w:tcPr>
          <w:p>
            <w:pPr>
              <w:adjustRightInd w:val="0"/>
              <w:snapToGrid w:val="0"/>
              <w:ind w:firstLine="420" w:firstLineChars="200"/>
              <w:jc w:val="left"/>
            </w:pPr>
            <w:r>
              <w:t>22</w:t>
            </w:r>
          </w:p>
        </w:tc>
        <w:tc>
          <w:tcPr>
            <w:tcW w:w="1134" w:type="dxa"/>
            <w:vAlign w:val="center"/>
          </w:tcPr>
          <w:p>
            <w:pPr>
              <w:adjustRightInd w:val="0"/>
              <w:snapToGrid w:val="0"/>
              <w:ind w:firstLine="420" w:firstLineChars="200"/>
              <w:jc w:val="left"/>
            </w:pPr>
            <w:r>
              <w:t>22</w:t>
            </w:r>
          </w:p>
        </w:tc>
        <w:tc>
          <w:tcPr>
            <w:tcW w:w="1134" w:type="dxa"/>
            <w:vAlign w:val="center"/>
          </w:tcPr>
          <w:p>
            <w:pPr>
              <w:adjustRightInd w:val="0"/>
              <w:snapToGrid w:val="0"/>
              <w:ind w:firstLine="420" w:firstLineChars="200"/>
              <w:jc w:val="left"/>
            </w:pPr>
            <w:r>
              <w:t>19</w:t>
            </w:r>
          </w:p>
        </w:tc>
        <w:tc>
          <w:tcPr>
            <w:tcW w:w="1134" w:type="dxa"/>
            <w:vAlign w:val="center"/>
          </w:tcPr>
          <w:p>
            <w:pPr>
              <w:adjustRightInd w:val="0"/>
              <w:snapToGrid w:val="0"/>
              <w:ind w:firstLine="420" w:firstLineChars="200"/>
              <w:jc w:val="left"/>
            </w:pPr>
            <w:r>
              <w:t>19</w:t>
            </w:r>
          </w:p>
        </w:tc>
        <w:tc>
          <w:tcPr>
            <w:tcW w:w="1134" w:type="dxa"/>
            <w:vAlign w:val="center"/>
          </w:tcPr>
          <w:p>
            <w:pPr>
              <w:adjustRightInd w:val="0"/>
              <w:snapToGrid w:val="0"/>
              <w:ind w:firstLine="420" w:firstLineChars="200"/>
              <w:jc w:val="left"/>
            </w:pPr>
            <w:r>
              <w:t>16</w:t>
            </w:r>
          </w:p>
        </w:tc>
        <w:tc>
          <w:tcPr>
            <w:tcW w:w="1134" w:type="dxa"/>
            <w:vAlign w:val="center"/>
          </w:tcPr>
          <w:p>
            <w:pPr>
              <w:adjustRightInd w:val="0"/>
              <w:snapToGrid w:val="0"/>
              <w:ind w:firstLine="420" w:firstLineChars="200"/>
              <w:jc w:val="left"/>
            </w:pPr>
            <w: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12</w:t>
            </w:r>
          </w:p>
        </w:tc>
        <w:tc>
          <w:tcPr>
            <w:tcW w:w="1188" w:type="dxa"/>
            <w:vAlign w:val="center"/>
          </w:tcPr>
          <w:p>
            <w:pPr>
              <w:adjustRightInd w:val="0"/>
              <w:snapToGrid w:val="0"/>
              <w:ind w:firstLine="420" w:firstLineChars="200"/>
              <w:jc w:val="left"/>
            </w:pPr>
            <w:r>
              <w:t>24</w:t>
            </w:r>
          </w:p>
        </w:tc>
        <w:tc>
          <w:tcPr>
            <w:tcW w:w="1134" w:type="dxa"/>
            <w:vAlign w:val="center"/>
          </w:tcPr>
          <w:p>
            <w:pPr>
              <w:adjustRightInd w:val="0"/>
              <w:snapToGrid w:val="0"/>
              <w:ind w:firstLine="420" w:firstLineChars="200"/>
              <w:jc w:val="left"/>
            </w:pPr>
            <w:r>
              <w:t>23</w:t>
            </w:r>
          </w:p>
        </w:tc>
        <w:tc>
          <w:tcPr>
            <w:tcW w:w="1134" w:type="dxa"/>
            <w:vAlign w:val="center"/>
          </w:tcPr>
          <w:p>
            <w:pPr>
              <w:adjustRightInd w:val="0"/>
              <w:snapToGrid w:val="0"/>
              <w:ind w:firstLine="420" w:firstLineChars="200"/>
              <w:jc w:val="left"/>
            </w:pPr>
            <w:r>
              <w:t>20</w:t>
            </w:r>
          </w:p>
        </w:tc>
        <w:tc>
          <w:tcPr>
            <w:tcW w:w="1134" w:type="dxa"/>
            <w:vAlign w:val="center"/>
          </w:tcPr>
          <w:p>
            <w:pPr>
              <w:adjustRightInd w:val="0"/>
              <w:snapToGrid w:val="0"/>
              <w:ind w:firstLine="420" w:firstLineChars="200"/>
              <w:jc w:val="left"/>
            </w:pPr>
            <w:r>
              <w:t>20</w:t>
            </w:r>
          </w:p>
        </w:tc>
        <w:tc>
          <w:tcPr>
            <w:tcW w:w="1134" w:type="dxa"/>
            <w:vAlign w:val="center"/>
          </w:tcPr>
          <w:p>
            <w:pPr>
              <w:adjustRightInd w:val="0"/>
              <w:snapToGrid w:val="0"/>
              <w:ind w:firstLine="420" w:firstLineChars="200"/>
              <w:jc w:val="left"/>
            </w:pPr>
            <w:r>
              <w:t>17</w:t>
            </w:r>
          </w:p>
        </w:tc>
        <w:tc>
          <w:tcPr>
            <w:tcW w:w="1134" w:type="dxa"/>
            <w:vAlign w:val="center"/>
          </w:tcPr>
          <w:p>
            <w:pPr>
              <w:adjustRightInd w:val="0"/>
              <w:snapToGrid w:val="0"/>
              <w:ind w:firstLine="420" w:firstLineChars="200"/>
              <w:jc w:val="left"/>
            </w:pPr>
            <w: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13</w:t>
            </w:r>
          </w:p>
        </w:tc>
        <w:tc>
          <w:tcPr>
            <w:tcW w:w="1188" w:type="dxa"/>
            <w:vAlign w:val="center"/>
          </w:tcPr>
          <w:p>
            <w:pPr>
              <w:adjustRightInd w:val="0"/>
              <w:snapToGrid w:val="0"/>
              <w:ind w:firstLine="420" w:firstLineChars="200"/>
              <w:jc w:val="left"/>
            </w:pPr>
            <w:r>
              <w:rPr>
                <w:rFonts w:hint="eastAsia"/>
              </w:rPr>
              <w:t>—</w:t>
            </w:r>
          </w:p>
        </w:tc>
        <w:tc>
          <w:tcPr>
            <w:tcW w:w="1134" w:type="dxa"/>
          </w:tcPr>
          <w:p>
            <w:pPr>
              <w:jc w:val="center"/>
            </w:pPr>
            <w:r>
              <w:rPr>
                <w:rFonts w:hint="eastAsia"/>
              </w:rPr>
              <w:t>—</w:t>
            </w:r>
          </w:p>
        </w:tc>
        <w:tc>
          <w:tcPr>
            <w:tcW w:w="1134" w:type="dxa"/>
          </w:tcPr>
          <w:p>
            <w:pPr>
              <w:jc w:val="center"/>
            </w:pPr>
            <w:r>
              <w:rPr>
                <w:rFonts w:hint="eastAsia"/>
              </w:rPr>
              <w:t>—</w:t>
            </w:r>
          </w:p>
        </w:tc>
        <w:tc>
          <w:tcPr>
            <w:tcW w:w="1134" w:type="dxa"/>
          </w:tcPr>
          <w:p>
            <w:pPr>
              <w:jc w:val="center"/>
            </w:pPr>
            <w:r>
              <w:rPr>
                <w:rFonts w:hint="eastAsia"/>
              </w:rPr>
              <w:t>—</w:t>
            </w:r>
          </w:p>
        </w:tc>
        <w:tc>
          <w:tcPr>
            <w:tcW w:w="1134" w:type="dxa"/>
            <w:vAlign w:val="center"/>
          </w:tcPr>
          <w:p>
            <w:pPr>
              <w:adjustRightInd w:val="0"/>
              <w:snapToGrid w:val="0"/>
              <w:ind w:firstLine="420" w:firstLineChars="200"/>
              <w:jc w:val="left"/>
            </w:pPr>
            <w:r>
              <w:t>18</w:t>
            </w:r>
          </w:p>
        </w:tc>
        <w:tc>
          <w:tcPr>
            <w:tcW w:w="1134" w:type="dxa"/>
            <w:vAlign w:val="center"/>
          </w:tcPr>
          <w:p>
            <w:pPr>
              <w:adjustRightInd w:val="0"/>
              <w:snapToGrid w:val="0"/>
              <w:ind w:firstLine="420" w:firstLineChars="200"/>
              <w:jc w:val="left"/>
            </w:pPr>
            <w: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14</w:t>
            </w:r>
          </w:p>
        </w:tc>
        <w:tc>
          <w:tcPr>
            <w:tcW w:w="1188" w:type="dxa"/>
          </w:tcPr>
          <w:p>
            <w:pPr>
              <w:jc w:val="center"/>
            </w:pPr>
            <w:r>
              <w:rPr>
                <w:rFonts w:hint="eastAsia"/>
              </w:rPr>
              <w:t>—</w:t>
            </w:r>
          </w:p>
        </w:tc>
        <w:tc>
          <w:tcPr>
            <w:tcW w:w="1134" w:type="dxa"/>
          </w:tcPr>
          <w:p>
            <w:pPr>
              <w:jc w:val="center"/>
            </w:pPr>
            <w:r>
              <w:rPr>
                <w:rFonts w:hint="eastAsia"/>
              </w:rPr>
              <w:t>—</w:t>
            </w:r>
          </w:p>
        </w:tc>
        <w:tc>
          <w:tcPr>
            <w:tcW w:w="1134" w:type="dxa"/>
          </w:tcPr>
          <w:p>
            <w:pPr>
              <w:jc w:val="center"/>
            </w:pPr>
            <w:r>
              <w:rPr>
                <w:rFonts w:hint="eastAsia"/>
              </w:rPr>
              <w:t>—</w:t>
            </w:r>
          </w:p>
        </w:tc>
        <w:tc>
          <w:tcPr>
            <w:tcW w:w="1134" w:type="dxa"/>
          </w:tcPr>
          <w:p>
            <w:pPr>
              <w:jc w:val="center"/>
            </w:pPr>
            <w:r>
              <w:rPr>
                <w:rFonts w:hint="eastAsia"/>
              </w:rPr>
              <w:t>—</w:t>
            </w:r>
          </w:p>
        </w:tc>
        <w:tc>
          <w:tcPr>
            <w:tcW w:w="1134" w:type="dxa"/>
            <w:vAlign w:val="center"/>
          </w:tcPr>
          <w:p>
            <w:pPr>
              <w:adjustRightInd w:val="0"/>
              <w:snapToGrid w:val="0"/>
              <w:ind w:firstLine="420" w:firstLineChars="200"/>
              <w:jc w:val="left"/>
            </w:pPr>
            <w:r>
              <w:t>20</w:t>
            </w:r>
          </w:p>
        </w:tc>
        <w:tc>
          <w:tcPr>
            <w:tcW w:w="1134" w:type="dxa"/>
            <w:vAlign w:val="center"/>
          </w:tcPr>
          <w:p>
            <w:pPr>
              <w:adjustRightInd w:val="0"/>
              <w:snapToGrid w:val="0"/>
              <w:ind w:firstLine="420" w:firstLineChars="200"/>
              <w:jc w:val="left"/>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15</w:t>
            </w:r>
          </w:p>
        </w:tc>
        <w:tc>
          <w:tcPr>
            <w:tcW w:w="1188" w:type="dxa"/>
          </w:tcPr>
          <w:p>
            <w:pPr>
              <w:jc w:val="center"/>
            </w:pPr>
            <w:r>
              <w:rPr>
                <w:rFonts w:hint="eastAsia"/>
              </w:rPr>
              <w:t>—</w:t>
            </w:r>
          </w:p>
        </w:tc>
        <w:tc>
          <w:tcPr>
            <w:tcW w:w="1134" w:type="dxa"/>
          </w:tcPr>
          <w:p>
            <w:pPr>
              <w:jc w:val="center"/>
            </w:pPr>
            <w:r>
              <w:rPr>
                <w:rFonts w:hint="eastAsia"/>
              </w:rPr>
              <w:t>—</w:t>
            </w:r>
          </w:p>
        </w:tc>
        <w:tc>
          <w:tcPr>
            <w:tcW w:w="1134" w:type="dxa"/>
          </w:tcPr>
          <w:p>
            <w:pPr>
              <w:jc w:val="center"/>
            </w:pPr>
            <w:r>
              <w:rPr>
                <w:rFonts w:hint="eastAsia"/>
              </w:rPr>
              <w:t>—</w:t>
            </w:r>
          </w:p>
        </w:tc>
        <w:tc>
          <w:tcPr>
            <w:tcW w:w="1134" w:type="dxa"/>
          </w:tcPr>
          <w:p>
            <w:pPr>
              <w:jc w:val="center"/>
            </w:pPr>
            <w:r>
              <w:rPr>
                <w:rFonts w:hint="eastAsia"/>
              </w:rPr>
              <w:t>—</w:t>
            </w:r>
          </w:p>
        </w:tc>
        <w:tc>
          <w:tcPr>
            <w:tcW w:w="1134" w:type="dxa"/>
            <w:vAlign w:val="center"/>
          </w:tcPr>
          <w:p>
            <w:pPr>
              <w:adjustRightInd w:val="0"/>
              <w:snapToGrid w:val="0"/>
              <w:ind w:firstLine="420" w:firstLineChars="200"/>
              <w:jc w:val="left"/>
            </w:pPr>
            <w:r>
              <w:t>21</w:t>
            </w:r>
          </w:p>
        </w:tc>
        <w:tc>
          <w:tcPr>
            <w:tcW w:w="1134" w:type="dxa"/>
            <w:vAlign w:val="center"/>
          </w:tcPr>
          <w:p>
            <w:pPr>
              <w:adjustRightInd w:val="0"/>
              <w:snapToGrid w:val="0"/>
              <w:ind w:firstLine="420" w:firstLineChars="200"/>
              <w:jc w:val="left"/>
            </w:pPr>
            <w: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16</w:t>
            </w:r>
          </w:p>
        </w:tc>
        <w:tc>
          <w:tcPr>
            <w:tcW w:w="1188" w:type="dxa"/>
          </w:tcPr>
          <w:p>
            <w:pPr>
              <w:jc w:val="center"/>
            </w:pPr>
            <w:r>
              <w:rPr>
                <w:rFonts w:hint="eastAsia"/>
              </w:rPr>
              <w:t>—</w:t>
            </w:r>
          </w:p>
        </w:tc>
        <w:tc>
          <w:tcPr>
            <w:tcW w:w="1134" w:type="dxa"/>
          </w:tcPr>
          <w:p>
            <w:pPr>
              <w:jc w:val="center"/>
            </w:pPr>
            <w:r>
              <w:rPr>
                <w:rFonts w:hint="eastAsia"/>
              </w:rPr>
              <w:t>—</w:t>
            </w:r>
          </w:p>
        </w:tc>
        <w:tc>
          <w:tcPr>
            <w:tcW w:w="1134" w:type="dxa"/>
          </w:tcPr>
          <w:p>
            <w:pPr>
              <w:jc w:val="center"/>
            </w:pPr>
            <w:r>
              <w:rPr>
                <w:rFonts w:hint="eastAsia"/>
              </w:rPr>
              <w:t>—</w:t>
            </w:r>
          </w:p>
        </w:tc>
        <w:tc>
          <w:tcPr>
            <w:tcW w:w="1134" w:type="dxa"/>
          </w:tcPr>
          <w:p>
            <w:pPr>
              <w:jc w:val="center"/>
            </w:pPr>
            <w:r>
              <w:rPr>
                <w:rFonts w:hint="eastAsia"/>
              </w:rPr>
              <w:t>—</w:t>
            </w:r>
          </w:p>
        </w:tc>
        <w:tc>
          <w:tcPr>
            <w:tcW w:w="1134" w:type="dxa"/>
            <w:vAlign w:val="center"/>
          </w:tcPr>
          <w:p>
            <w:pPr>
              <w:adjustRightInd w:val="0"/>
              <w:snapToGrid w:val="0"/>
              <w:ind w:firstLine="420" w:firstLineChars="200"/>
              <w:jc w:val="left"/>
            </w:pPr>
            <w:r>
              <w:t>22</w:t>
            </w:r>
          </w:p>
        </w:tc>
        <w:tc>
          <w:tcPr>
            <w:tcW w:w="1134" w:type="dxa"/>
            <w:vAlign w:val="center"/>
          </w:tcPr>
          <w:p>
            <w:pPr>
              <w:adjustRightInd w:val="0"/>
              <w:snapToGrid w:val="0"/>
              <w:ind w:firstLine="420" w:firstLineChars="200"/>
              <w:jc w:val="left"/>
            </w:pPr>
            <w:r>
              <w:t>22</w:t>
            </w:r>
          </w:p>
        </w:tc>
      </w:tr>
    </w:tbl>
    <w:p>
      <w:pPr>
        <w:adjustRightInd w:val="0"/>
        <w:snapToGrid w:val="0"/>
        <w:ind w:firstLine="420" w:firstLineChars="200"/>
        <w:jc w:val="left"/>
      </w:pPr>
    </w:p>
    <w:p>
      <w:pPr>
        <w:adjustRightInd w:val="0"/>
        <w:snapToGrid w:val="0"/>
        <w:ind w:firstLine="420" w:firstLineChars="200"/>
      </w:pPr>
      <w:r>
        <w:t xml:space="preserve">4.3.1.2  </w:t>
      </w:r>
      <w:r>
        <w:rPr>
          <w:rFonts w:hint="eastAsia"/>
        </w:rPr>
        <w:t>肋板</w:t>
      </w:r>
    </w:p>
    <w:p>
      <w:pPr>
        <w:adjustRightInd w:val="0"/>
        <w:snapToGrid w:val="0"/>
        <w:ind w:firstLine="420" w:firstLineChars="200"/>
      </w:pPr>
      <w:r>
        <w:rPr>
          <w:rFonts w:hint="eastAsia"/>
        </w:rPr>
        <w:t>（1）每道肋位上应设置肋板。</w:t>
      </w:r>
    </w:p>
    <w:p>
      <w:pPr>
        <w:adjustRightInd w:val="0"/>
        <w:snapToGrid w:val="0"/>
        <w:ind w:firstLine="420" w:firstLineChars="200"/>
      </w:pPr>
      <w:r>
        <w:rPr>
          <w:rFonts w:hint="eastAsia"/>
        </w:rPr>
        <w:t>（2）肋板平均高度应不小于下式计算值，且应不小于60mm。</w:t>
      </w:r>
    </w:p>
    <w:p>
      <w:pPr>
        <w:adjustRightInd w:val="0"/>
        <w:snapToGrid w:val="0"/>
        <w:ind w:firstLine="420" w:firstLineChars="200"/>
        <w:jc w:val="center"/>
      </w:pPr>
      <w:r>
        <w:rPr>
          <w:i/>
        </w:rPr>
        <w:t>h</w:t>
      </w:r>
      <w:r>
        <w:t>=62.5</w:t>
      </w:r>
      <w:r>
        <w:rPr>
          <w:i/>
        </w:rPr>
        <w:t>l</w:t>
      </w:r>
      <w:r>
        <w:rPr>
          <w:rFonts w:hint="eastAsia"/>
        </w:rPr>
        <w:t xml:space="preserve">       mm</w:t>
      </w:r>
    </w:p>
    <w:p>
      <w:pPr>
        <w:adjustRightInd w:val="0"/>
        <w:snapToGrid w:val="0"/>
        <w:ind w:left="420" w:leftChars="200" w:firstLine="420" w:firstLineChars="200"/>
      </w:pPr>
      <w:r>
        <w:rPr>
          <w:rFonts w:hint="eastAsia"/>
        </w:rPr>
        <w:t>式中：</w:t>
      </w:r>
      <w:r>
        <w:rPr>
          <w:rFonts w:hint="eastAsia"/>
          <w:i/>
        </w:rPr>
        <w:t>l</w:t>
      </w:r>
      <w:r>
        <w:rPr>
          <w:i/>
          <w:iCs/>
        </w:rPr>
        <w:t>——</w:t>
      </w:r>
      <w:r>
        <w:rPr>
          <w:rFonts w:hint="eastAsia"/>
        </w:rPr>
        <w:t>肋板在左右舷之间的跨距，m。</w:t>
      </w:r>
    </w:p>
    <w:p>
      <w:pPr>
        <w:adjustRightInd w:val="0"/>
        <w:snapToGrid w:val="0"/>
        <w:ind w:firstLine="420" w:firstLineChars="200"/>
      </w:pPr>
      <w:r>
        <w:rPr>
          <w:rFonts w:hint="eastAsia"/>
        </w:rPr>
        <w:t>（3）沿海船舶的肋板厚度应不小于8mm，内河船舶的肋板厚度应不小于7mm。</w:t>
      </w:r>
    </w:p>
    <w:p>
      <w:pPr>
        <w:adjustRightInd w:val="0"/>
        <w:snapToGrid w:val="0"/>
        <w:ind w:firstLine="420" w:firstLineChars="200"/>
      </w:pPr>
      <w:r>
        <w:rPr>
          <w:rFonts w:hint="eastAsia"/>
        </w:rPr>
        <w:t>（4）肋板的剖面模数应不小于下式计算值：</w:t>
      </w:r>
    </w:p>
    <w:p>
      <w:pPr>
        <w:adjustRightInd w:val="0"/>
        <w:snapToGrid w:val="0"/>
        <w:ind w:firstLine="420" w:firstLineChars="200"/>
        <w:jc w:val="center"/>
      </w:pPr>
      <w:r>
        <w:rPr>
          <w:i/>
        </w:rPr>
        <w:t>W</w:t>
      </w:r>
      <w:r>
        <w:t>=15.4</w:t>
      </w:r>
      <w:r>
        <w:rPr>
          <w:i/>
        </w:rPr>
        <w:t>sDl</w:t>
      </w:r>
      <w:r>
        <w:rPr>
          <w:i/>
          <w:vertAlign w:val="superscript"/>
        </w:rPr>
        <w:t>2</w:t>
      </w:r>
      <w:r>
        <w:rPr>
          <w:rFonts w:hint="eastAsia"/>
        </w:rPr>
        <w:t xml:space="preserve">       </w:t>
      </w:r>
      <w:r>
        <w:t>c</w:t>
      </w:r>
      <w:r>
        <w:rPr>
          <w:rFonts w:hint="eastAsia"/>
        </w:rPr>
        <w:t>m</w:t>
      </w:r>
      <w:r>
        <w:rPr>
          <w:vertAlign w:val="superscript"/>
        </w:rPr>
        <w:t>3</w:t>
      </w:r>
    </w:p>
    <w:p>
      <w:pPr>
        <w:adjustRightInd w:val="0"/>
        <w:snapToGrid w:val="0"/>
        <w:ind w:left="420" w:leftChars="200" w:firstLine="420" w:firstLineChars="200"/>
      </w:pPr>
      <w:r>
        <w:rPr>
          <w:rFonts w:hint="eastAsia"/>
        </w:rPr>
        <w:t>式中：</w:t>
      </w:r>
      <w:r>
        <w:rPr>
          <w:rFonts w:hint="eastAsia"/>
          <w:i/>
        </w:rPr>
        <w:t>s</w:t>
      </w:r>
      <w:r>
        <w:rPr>
          <w:i/>
          <w:iCs/>
        </w:rPr>
        <w:t>——</w:t>
      </w:r>
      <w:r>
        <w:rPr>
          <w:rFonts w:hint="eastAsia"/>
        </w:rPr>
        <w:t>肋板间距，m；</w:t>
      </w:r>
    </w:p>
    <w:p>
      <w:pPr>
        <w:adjustRightInd w:val="0"/>
        <w:snapToGrid w:val="0"/>
        <w:ind w:left="420" w:leftChars="200" w:firstLine="420" w:firstLineChars="200"/>
      </w:pPr>
      <w:r>
        <w:rPr>
          <w:rFonts w:hint="eastAsia"/>
        </w:rPr>
        <w:t xml:space="preserve">      </w:t>
      </w:r>
      <w:r>
        <w:rPr>
          <w:i/>
        </w:rPr>
        <w:t>l</w:t>
      </w:r>
      <w:r>
        <w:rPr>
          <w:i/>
          <w:iCs/>
        </w:rPr>
        <w:t>——</w:t>
      </w:r>
      <w:r>
        <w:rPr>
          <w:rFonts w:hint="eastAsia"/>
        </w:rPr>
        <w:t>肋板在左右舷之间的跨距，m；</w:t>
      </w:r>
    </w:p>
    <w:p>
      <w:pPr>
        <w:adjustRightInd w:val="0"/>
        <w:snapToGrid w:val="0"/>
        <w:ind w:left="420" w:leftChars="200" w:firstLine="420" w:firstLineChars="200"/>
      </w:pPr>
      <w:r>
        <w:rPr>
          <w:rFonts w:hint="eastAsia"/>
        </w:rPr>
        <w:t xml:space="preserve">      </w:t>
      </w:r>
      <w:r>
        <w:rPr>
          <w:rFonts w:hint="eastAsia"/>
          <w:i/>
        </w:rPr>
        <w:t>D</w:t>
      </w:r>
      <w:r>
        <w:rPr>
          <w:i/>
          <w:iCs/>
        </w:rPr>
        <w:t>——</w:t>
      </w:r>
      <w:r>
        <w:rPr>
          <w:rFonts w:hint="eastAsia"/>
        </w:rPr>
        <w:t>型深，m。</w:t>
      </w:r>
    </w:p>
    <w:p>
      <w:pPr>
        <w:adjustRightInd w:val="0"/>
        <w:snapToGrid w:val="0"/>
        <w:ind w:firstLine="420" w:firstLineChars="200"/>
      </w:pPr>
      <w:r>
        <w:t xml:space="preserve">4.3.1.3  </w:t>
      </w:r>
      <w:r>
        <w:rPr>
          <w:rFonts w:hint="eastAsia"/>
        </w:rPr>
        <w:t>肋骨</w:t>
      </w:r>
    </w:p>
    <w:p>
      <w:pPr>
        <w:adjustRightInd w:val="0"/>
        <w:snapToGrid w:val="0"/>
        <w:ind w:firstLine="420" w:firstLineChars="200"/>
      </w:pPr>
      <w:r>
        <w:rPr>
          <w:rFonts w:hint="eastAsia"/>
        </w:rPr>
        <w:t>（1）每道肋位上应设置肋骨。</w:t>
      </w:r>
    </w:p>
    <w:p>
      <w:pPr>
        <w:adjustRightInd w:val="0"/>
        <w:snapToGrid w:val="0"/>
        <w:ind w:firstLine="420" w:firstLineChars="200"/>
      </w:pPr>
      <w:r>
        <w:rPr>
          <w:rFonts w:hint="eastAsia"/>
        </w:rPr>
        <w:t>（2）肋骨的剖面模数</w:t>
      </w:r>
      <w:r>
        <w:rPr>
          <w:rFonts w:hint="eastAsia"/>
          <w:i/>
        </w:rPr>
        <w:t>W</w:t>
      </w:r>
      <w:r>
        <w:rPr>
          <w:rFonts w:hint="eastAsia"/>
        </w:rPr>
        <w:t>应不小于下式计算值：</w:t>
      </w:r>
    </w:p>
    <w:p>
      <w:pPr>
        <w:adjustRightInd w:val="0"/>
        <w:snapToGrid w:val="0"/>
        <w:ind w:firstLine="420" w:firstLineChars="200"/>
        <w:jc w:val="center"/>
      </w:pPr>
      <w:r>
        <w:rPr>
          <w:i/>
        </w:rPr>
        <w:t>W</w:t>
      </w:r>
      <w:r>
        <w:t>=19</w:t>
      </w:r>
      <w:r>
        <w:rPr>
          <w:i/>
        </w:rPr>
        <w:t>shl</w:t>
      </w:r>
      <w:r>
        <w:rPr>
          <w:i/>
          <w:vertAlign w:val="superscript"/>
        </w:rPr>
        <w:t>2</w:t>
      </w:r>
      <w:r>
        <w:rPr>
          <w:rFonts w:hint="eastAsia"/>
        </w:rPr>
        <w:t xml:space="preserve">        </w:t>
      </w:r>
      <w:r>
        <w:t>c</w:t>
      </w:r>
      <w:r>
        <w:rPr>
          <w:rFonts w:hint="eastAsia"/>
        </w:rPr>
        <w:t>m</w:t>
      </w:r>
      <w:r>
        <w:rPr>
          <w:vertAlign w:val="superscript"/>
        </w:rPr>
        <w:t>3</w:t>
      </w:r>
    </w:p>
    <w:p>
      <w:pPr>
        <w:adjustRightInd w:val="0"/>
        <w:snapToGrid w:val="0"/>
        <w:ind w:left="420" w:leftChars="200" w:firstLine="420" w:firstLineChars="200"/>
      </w:pPr>
      <w:r>
        <w:rPr>
          <w:rFonts w:hint="eastAsia"/>
        </w:rPr>
        <w:t>式中：</w:t>
      </w:r>
      <w:r>
        <w:rPr>
          <w:rFonts w:hint="eastAsia"/>
          <w:i/>
        </w:rPr>
        <w:t>s</w:t>
      </w:r>
      <w:r>
        <w:rPr>
          <w:i/>
          <w:iCs/>
        </w:rPr>
        <w:t>——</w:t>
      </w:r>
      <w:r>
        <w:rPr>
          <w:rFonts w:hint="eastAsia"/>
        </w:rPr>
        <w:t>肋骨间距，m；</w:t>
      </w:r>
    </w:p>
    <w:p>
      <w:pPr>
        <w:adjustRightInd w:val="0"/>
        <w:snapToGrid w:val="0"/>
        <w:ind w:left="420" w:leftChars="200" w:firstLine="420" w:firstLineChars="200"/>
      </w:pPr>
      <w:r>
        <w:rPr>
          <w:rFonts w:hint="eastAsia"/>
        </w:rPr>
        <w:t xml:space="preserve">      </w:t>
      </w:r>
      <w:r>
        <w:rPr>
          <w:i/>
        </w:rPr>
        <w:t>l</w:t>
      </w:r>
      <w:r>
        <w:rPr>
          <w:i/>
          <w:iCs/>
        </w:rPr>
        <w:t>——</w:t>
      </w:r>
      <w:r>
        <w:rPr>
          <w:rFonts w:hint="eastAsia"/>
        </w:rPr>
        <w:t>肋骨跨距，m；</w:t>
      </w:r>
    </w:p>
    <w:p>
      <w:pPr>
        <w:adjustRightInd w:val="0"/>
        <w:snapToGrid w:val="0"/>
        <w:ind w:left="420" w:leftChars="200" w:firstLine="420" w:firstLineChars="200"/>
      </w:pPr>
      <w:r>
        <w:rPr>
          <w:rFonts w:hint="eastAsia"/>
        </w:rPr>
        <w:t xml:space="preserve">      </w:t>
      </w:r>
      <w:r>
        <w:rPr>
          <w:i/>
        </w:rPr>
        <w:t>h</w:t>
      </w:r>
      <w:r>
        <w:rPr>
          <w:i/>
          <w:iCs/>
        </w:rPr>
        <w:t>——</w:t>
      </w:r>
      <w:r>
        <w:rPr>
          <w:rFonts w:hint="eastAsia"/>
        </w:rPr>
        <w:t>跨距中点到舷侧主甲板下缘的垂向距离，m。</w:t>
      </w:r>
    </w:p>
    <w:p>
      <w:pPr>
        <w:adjustRightInd w:val="0"/>
        <w:snapToGrid w:val="0"/>
        <w:ind w:firstLine="422" w:firstLineChars="200"/>
        <w:jc w:val="left"/>
        <w:rPr>
          <w:b/>
        </w:rPr>
      </w:pPr>
    </w:p>
    <w:p>
      <w:pPr>
        <w:adjustRightInd w:val="0"/>
        <w:snapToGrid w:val="0"/>
        <w:ind w:firstLine="422" w:firstLineChars="200"/>
        <w:rPr>
          <w:b/>
        </w:rPr>
      </w:pPr>
      <w:r>
        <w:rPr>
          <w:b/>
        </w:rPr>
        <w:t xml:space="preserve">4.3.2  </w:t>
      </w:r>
      <w:r>
        <w:rPr>
          <w:rFonts w:hint="eastAsia"/>
          <w:b/>
        </w:rPr>
        <w:t>内板（甲板）及</w:t>
      </w:r>
      <w:r>
        <w:rPr>
          <w:b/>
        </w:rPr>
        <w:t>骨架</w:t>
      </w:r>
    </w:p>
    <w:p>
      <w:pPr>
        <w:ind w:firstLine="420" w:firstLineChars="200"/>
      </w:pPr>
      <w:r>
        <w:t xml:space="preserve">4.3.2.1  </w:t>
      </w:r>
      <w:r>
        <w:rPr>
          <w:rFonts w:hint="eastAsia"/>
        </w:rPr>
        <w:t>内板（甲板）</w:t>
      </w:r>
    </w:p>
    <w:p>
      <w:pPr>
        <w:ind w:firstLine="420" w:firstLineChars="200"/>
        <w:rPr>
          <w:color w:val="000000"/>
          <w:szCs w:val="21"/>
        </w:rPr>
      </w:pPr>
      <w:r>
        <w:rPr>
          <w:rFonts w:hint="eastAsia"/>
          <w:color w:val="000000"/>
          <w:szCs w:val="21"/>
        </w:rPr>
        <w:t>（1）主甲板或</w:t>
      </w:r>
      <w:r>
        <w:rPr>
          <w:color w:val="000000"/>
          <w:szCs w:val="21"/>
        </w:rPr>
        <w:t>双壳结构内板</w:t>
      </w:r>
      <w:r>
        <w:rPr>
          <w:rFonts w:hint="eastAsia"/>
          <w:color w:val="000000"/>
          <w:szCs w:val="21"/>
        </w:rPr>
        <w:t>厚度应不小于下式计算值，且</w:t>
      </w:r>
      <w:r>
        <w:rPr>
          <w:rFonts w:hint="eastAsia"/>
        </w:rPr>
        <w:t>低密度、线性低密度聚乙烯</w:t>
      </w:r>
      <w:r>
        <w:rPr>
          <w:color w:val="000000"/>
          <w:szCs w:val="21"/>
        </w:rPr>
        <w:t>渔船</w:t>
      </w:r>
      <w:r>
        <w:rPr>
          <w:rFonts w:hint="eastAsia"/>
          <w:color w:val="000000"/>
          <w:szCs w:val="21"/>
        </w:rPr>
        <w:t>主甲板厚度不应小于</w:t>
      </w:r>
      <w:r>
        <w:rPr>
          <w:color w:val="000000"/>
          <w:szCs w:val="21"/>
        </w:rPr>
        <w:t>8</w:t>
      </w:r>
      <w:r>
        <w:rPr>
          <w:rFonts w:hint="eastAsia"/>
          <w:color w:val="000000"/>
          <w:szCs w:val="21"/>
        </w:rPr>
        <w:t>mm，高密度聚乙烯</w:t>
      </w:r>
      <w:r>
        <w:rPr>
          <w:color w:val="000000"/>
          <w:szCs w:val="21"/>
        </w:rPr>
        <w:t>渔船</w:t>
      </w:r>
      <w:r>
        <w:rPr>
          <w:rFonts w:hint="eastAsia"/>
          <w:color w:val="000000"/>
          <w:szCs w:val="21"/>
        </w:rPr>
        <w:t>主甲板厚度不应小于</w:t>
      </w:r>
      <w:r>
        <w:rPr>
          <w:color w:val="000000"/>
          <w:szCs w:val="21"/>
        </w:rPr>
        <w:t>10</w:t>
      </w:r>
      <w:r>
        <w:rPr>
          <w:rFonts w:hint="eastAsia"/>
          <w:color w:val="000000"/>
          <w:szCs w:val="21"/>
        </w:rPr>
        <w:t>mm。</w:t>
      </w:r>
    </w:p>
    <w:p>
      <w:pPr>
        <w:ind w:firstLine="420" w:firstLineChars="200"/>
        <w:jc w:val="center"/>
        <w:rPr>
          <w:color w:val="000000"/>
          <w:szCs w:val="21"/>
        </w:rPr>
      </w:pPr>
      <w:r>
        <w:rPr>
          <w:rFonts w:hint="eastAsia"/>
          <w:color w:val="000000"/>
          <w:position w:val="-6"/>
          <w:szCs w:val="21"/>
        </w:rPr>
        <w:object>
          <v:shape id="_x0000_i1028" o:spt="75" type="#_x0000_t75" style="height:13.6pt;width:40.75pt;" o:ole="t" filled="f" o:preferrelative="t" stroked="f" coordsize="21600,21600">
            <v:path/>
            <v:fill on="f" focussize="0,0"/>
            <v:stroke on="f" joinstyle="miter"/>
            <v:imagedata r:id="rId18" o:title=""/>
            <o:lock v:ext="edit" aspectratio="t"/>
            <w10:wrap type="none"/>
            <w10:anchorlock/>
          </v:shape>
          <o:OLEObject Type="Embed" ProgID="Equation.3" ShapeID="_x0000_i1028" DrawAspect="Content" ObjectID="_1468075726" r:id="rId17">
            <o:LockedField>false</o:LockedField>
          </o:OLEObject>
        </w:object>
      </w:r>
    </w:p>
    <w:p>
      <w:pPr>
        <w:ind w:firstLine="420" w:firstLineChars="200"/>
        <w:rPr>
          <w:color w:val="000000"/>
          <w:szCs w:val="21"/>
        </w:rPr>
      </w:pPr>
      <w:r>
        <w:rPr>
          <w:rFonts w:hint="eastAsia"/>
          <w:color w:val="000000"/>
          <w:szCs w:val="21"/>
        </w:rPr>
        <w:t>式中：</w:t>
      </w:r>
      <w:r>
        <w:rPr>
          <w:color w:val="000000"/>
          <w:position w:val="-6"/>
          <w:szCs w:val="21"/>
        </w:rPr>
        <w:object>
          <v:shape id="_x0000_i1029" o:spt="75" type="#_x0000_t75" style="height:13.6pt;width:6.8pt;" o:ole="t" filled="f" o:preferrelative="t" stroked="f" coordsize="21600,21600">
            <v:path/>
            <v:fill on="f" focussize="0,0"/>
            <v:stroke on="f" joinstyle="miter"/>
            <v:imagedata r:id="rId20" o:title=""/>
            <o:lock v:ext="edit" aspectratio="t"/>
            <w10:wrap type="none"/>
            <w10:anchorlock/>
          </v:shape>
          <o:OLEObject Type="Embed" ProgID="Equation.3" ShapeID="_x0000_i1029" DrawAspect="Content" ObjectID="_1468075727" r:id="rId19">
            <o:LockedField>false</o:LockedField>
          </o:OLEObject>
        </w:object>
      </w:r>
      <w:r>
        <w:rPr>
          <w:i/>
          <w:iCs/>
        </w:rPr>
        <w:t>——</w:t>
      </w:r>
      <w:r>
        <w:rPr>
          <w:rFonts w:hint="eastAsia"/>
          <w:color w:val="000000"/>
          <w:szCs w:val="21"/>
        </w:rPr>
        <w:t>船体外板厚度，mm。</w:t>
      </w:r>
    </w:p>
    <w:p>
      <w:pPr>
        <w:ind w:firstLine="420" w:firstLineChars="200"/>
        <w:rPr>
          <w:color w:val="000000"/>
          <w:szCs w:val="21"/>
        </w:rPr>
      </w:pPr>
      <w:r>
        <w:rPr>
          <w:rFonts w:hint="eastAsia"/>
        </w:rPr>
        <w:t>（2）</w:t>
      </w:r>
      <w:r>
        <w:rPr>
          <w:rFonts w:hint="eastAsia"/>
          <w:color w:val="000000"/>
          <w:szCs w:val="21"/>
        </w:rPr>
        <w:t>内河渔船的主甲板厚度可取4</w:t>
      </w:r>
      <w:r>
        <w:rPr>
          <w:color w:val="000000"/>
          <w:szCs w:val="21"/>
        </w:rPr>
        <w:t>.3.2.1</w:t>
      </w:r>
      <w:r>
        <w:rPr>
          <w:rFonts w:hint="eastAsia"/>
          <w:color w:val="000000"/>
          <w:szCs w:val="21"/>
        </w:rPr>
        <w:t>（1）中计算值的70%，且应不小于7mm。</w:t>
      </w:r>
    </w:p>
    <w:p>
      <w:pPr>
        <w:ind w:firstLine="420" w:firstLineChars="200"/>
        <w:rPr>
          <w:color w:val="000000"/>
          <w:szCs w:val="21"/>
        </w:rPr>
      </w:pPr>
      <w:r>
        <w:rPr>
          <w:rFonts w:hint="eastAsia"/>
        </w:rPr>
        <w:t>（3）</w:t>
      </w:r>
      <w:r>
        <w:rPr>
          <w:rFonts w:hint="eastAsia"/>
          <w:color w:val="000000"/>
          <w:szCs w:val="21"/>
        </w:rPr>
        <w:t>其他甲板的厚度可按主甲板规定的厚度适当减小，但应不小于6mm。</w:t>
      </w:r>
    </w:p>
    <w:p>
      <w:pPr>
        <w:ind w:firstLine="420" w:firstLineChars="200"/>
      </w:pPr>
      <w:r>
        <w:t xml:space="preserve">4.3.2.2  </w:t>
      </w:r>
      <w:r>
        <w:rPr>
          <w:rFonts w:hint="eastAsia"/>
        </w:rPr>
        <w:t>甲板横梁</w:t>
      </w:r>
    </w:p>
    <w:p>
      <w:pPr>
        <w:adjustRightInd w:val="0"/>
        <w:snapToGrid w:val="0"/>
        <w:ind w:firstLine="420" w:firstLineChars="200"/>
      </w:pPr>
      <w:r>
        <w:rPr>
          <w:rFonts w:hint="eastAsia"/>
        </w:rPr>
        <w:t>（1）每个肋位上应设置横梁。</w:t>
      </w:r>
    </w:p>
    <w:p>
      <w:pPr>
        <w:adjustRightInd w:val="0"/>
        <w:snapToGrid w:val="0"/>
        <w:ind w:firstLine="420" w:firstLineChars="200"/>
      </w:pPr>
      <w:r>
        <w:rPr>
          <w:rFonts w:hint="eastAsia"/>
        </w:rPr>
        <w:t>（2）甲板横梁的剖面模数W应不小于下式计算值：</w:t>
      </w:r>
    </w:p>
    <w:p>
      <w:pPr>
        <w:adjustRightInd w:val="0"/>
        <w:snapToGrid w:val="0"/>
        <w:ind w:firstLine="420" w:firstLineChars="200"/>
        <w:jc w:val="center"/>
      </w:pPr>
      <w:r>
        <w:rPr>
          <w:i/>
        </w:rPr>
        <w:t>W</w:t>
      </w:r>
      <w:r>
        <w:t>=16.5</w:t>
      </w:r>
      <w:r>
        <w:rPr>
          <w:i/>
        </w:rPr>
        <w:t>shl</w:t>
      </w:r>
      <w:r>
        <w:rPr>
          <w:i/>
          <w:vertAlign w:val="superscript"/>
        </w:rPr>
        <w:t>2</w:t>
      </w:r>
      <w:r>
        <w:rPr>
          <w:rFonts w:hint="eastAsia"/>
        </w:rPr>
        <w:t xml:space="preserve">        </w:t>
      </w:r>
      <w:r>
        <w:t>c</w:t>
      </w:r>
      <w:r>
        <w:rPr>
          <w:rFonts w:hint="eastAsia"/>
        </w:rPr>
        <w:t>m</w:t>
      </w:r>
      <w:r>
        <w:rPr>
          <w:vertAlign w:val="superscript"/>
        </w:rPr>
        <w:t>3</w:t>
      </w:r>
    </w:p>
    <w:p>
      <w:pPr>
        <w:adjustRightInd w:val="0"/>
        <w:snapToGrid w:val="0"/>
        <w:ind w:left="420" w:leftChars="200" w:firstLine="420" w:firstLineChars="200"/>
      </w:pPr>
      <w:r>
        <w:rPr>
          <w:rFonts w:hint="eastAsia"/>
        </w:rPr>
        <w:t>式中：</w:t>
      </w:r>
      <w:r>
        <w:rPr>
          <w:rFonts w:hint="eastAsia"/>
          <w:i/>
        </w:rPr>
        <w:t>s</w:t>
      </w:r>
      <w:r>
        <w:rPr>
          <w:i/>
          <w:iCs/>
        </w:rPr>
        <w:t>——</w:t>
      </w:r>
      <w:r>
        <w:rPr>
          <w:rFonts w:hint="eastAsia"/>
        </w:rPr>
        <w:t>横梁间距，m；</w:t>
      </w:r>
    </w:p>
    <w:p>
      <w:pPr>
        <w:adjustRightInd w:val="0"/>
        <w:snapToGrid w:val="0"/>
        <w:ind w:left="420" w:leftChars="200" w:firstLine="420" w:firstLineChars="200"/>
      </w:pPr>
      <w:r>
        <w:rPr>
          <w:rFonts w:hint="eastAsia"/>
        </w:rPr>
        <w:t xml:space="preserve">      </w:t>
      </w:r>
      <w:r>
        <w:rPr>
          <w:i/>
        </w:rPr>
        <w:t>l</w:t>
      </w:r>
      <w:r>
        <w:rPr>
          <w:i/>
          <w:iCs/>
        </w:rPr>
        <w:t>——</w:t>
      </w:r>
      <w:r>
        <w:rPr>
          <w:rFonts w:hint="eastAsia"/>
        </w:rPr>
        <w:t>横梁跨距，m；</w:t>
      </w:r>
    </w:p>
    <w:p>
      <w:pPr>
        <w:adjustRightInd w:val="0"/>
        <w:snapToGrid w:val="0"/>
        <w:ind w:left="420" w:leftChars="200" w:firstLine="420" w:firstLineChars="200"/>
      </w:pPr>
      <w:r>
        <w:rPr>
          <w:rFonts w:hint="eastAsia"/>
        </w:rPr>
        <w:t xml:space="preserve">      </w:t>
      </w:r>
      <w:r>
        <w:rPr>
          <w:i/>
        </w:rPr>
        <w:t>h</w:t>
      </w:r>
      <w:r>
        <w:rPr>
          <w:i/>
          <w:iCs/>
        </w:rPr>
        <w:t>——</w:t>
      </w:r>
      <w:r>
        <w:rPr>
          <w:rFonts w:hint="eastAsia"/>
        </w:rPr>
        <w:t>甲板压头，</w:t>
      </w:r>
      <w:r>
        <w:rPr>
          <w:rFonts w:hint="eastAsia"/>
          <w:i/>
        </w:rPr>
        <w:t>h</w:t>
      </w:r>
      <w:r>
        <w:rPr>
          <w:rFonts w:hint="eastAsia"/>
        </w:rPr>
        <w:t>=0.02</w:t>
      </w:r>
      <w:r>
        <w:rPr>
          <w:rFonts w:hint="eastAsia"/>
          <w:i/>
        </w:rPr>
        <w:t>L</w:t>
      </w:r>
      <w:r>
        <w:rPr>
          <w:rFonts w:hint="eastAsia"/>
        </w:rPr>
        <w:t>+0.76，m。</w:t>
      </w:r>
    </w:p>
    <w:p>
      <w:pPr>
        <w:ind w:firstLine="420" w:firstLineChars="200"/>
      </w:pPr>
      <w:r>
        <w:t xml:space="preserve">4.3.2.3  </w:t>
      </w:r>
      <w:r>
        <w:rPr>
          <w:rFonts w:hint="eastAsia"/>
        </w:rPr>
        <w:t>甲板纵桁</w:t>
      </w:r>
    </w:p>
    <w:p>
      <w:pPr>
        <w:adjustRightInd w:val="0"/>
        <w:snapToGrid w:val="0"/>
        <w:ind w:firstLine="420" w:firstLineChars="200"/>
      </w:pPr>
      <w:r>
        <w:rPr>
          <w:rFonts w:hint="eastAsia"/>
        </w:rPr>
        <w:t>（1）甲板</w:t>
      </w:r>
      <w:r>
        <w:t>纵桁</w:t>
      </w:r>
      <w:r>
        <w:rPr>
          <w:rFonts w:hint="eastAsia"/>
        </w:rPr>
        <w:t>的剖面模数</w:t>
      </w:r>
      <w:r>
        <w:rPr>
          <w:rFonts w:hint="eastAsia"/>
          <w:i/>
        </w:rPr>
        <w:t>W</w:t>
      </w:r>
      <w:r>
        <w:rPr>
          <w:rFonts w:hint="eastAsia"/>
        </w:rPr>
        <w:t>应不小于下式计算值：</w:t>
      </w:r>
    </w:p>
    <w:p>
      <w:pPr>
        <w:adjustRightInd w:val="0"/>
        <w:snapToGrid w:val="0"/>
        <w:ind w:firstLine="420" w:firstLineChars="200"/>
        <w:jc w:val="center"/>
      </w:pPr>
      <w:r>
        <w:rPr>
          <w:i/>
        </w:rPr>
        <w:t>W</w:t>
      </w:r>
      <w:r>
        <w:t>=16.5</w:t>
      </w:r>
      <w:r>
        <w:rPr>
          <w:i/>
        </w:rPr>
        <w:t>shl</w:t>
      </w:r>
      <w:r>
        <w:rPr>
          <w:i/>
          <w:vertAlign w:val="superscript"/>
        </w:rPr>
        <w:t>2</w:t>
      </w:r>
      <w:r>
        <w:rPr>
          <w:rFonts w:hint="eastAsia"/>
        </w:rPr>
        <w:t xml:space="preserve">        </w:t>
      </w:r>
      <w:r>
        <w:t>c</w:t>
      </w:r>
      <w:r>
        <w:rPr>
          <w:rFonts w:hint="eastAsia"/>
        </w:rPr>
        <w:t>m</w:t>
      </w:r>
      <w:r>
        <w:rPr>
          <w:vertAlign w:val="superscript"/>
        </w:rPr>
        <w:t>3</w:t>
      </w:r>
    </w:p>
    <w:p>
      <w:pPr>
        <w:adjustRightInd w:val="0"/>
        <w:snapToGrid w:val="0"/>
        <w:ind w:left="420" w:leftChars="200" w:firstLine="420" w:firstLineChars="200"/>
        <w:jc w:val="left"/>
      </w:pPr>
      <w:r>
        <w:rPr>
          <w:rFonts w:hint="eastAsia"/>
        </w:rPr>
        <w:t>式中：</w:t>
      </w:r>
      <w:r>
        <w:rPr>
          <w:rFonts w:hint="eastAsia"/>
          <w:i/>
        </w:rPr>
        <w:t>s</w:t>
      </w:r>
      <w:r>
        <w:rPr>
          <w:i/>
          <w:iCs/>
        </w:rPr>
        <w:t>——</w:t>
      </w:r>
      <w:r>
        <w:rPr>
          <w:rFonts w:hint="eastAsia"/>
        </w:rPr>
        <w:t>纵桁支撑甲板面积的平均宽度，m；</w:t>
      </w:r>
    </w:p>
    <w:p>
      <w:pPr>
        <w:adjustRightInd w:val="0"/>
        <w:snapToGrid w:val="0"/>
        <w:ind w:left="420" w:leftChars="200" w:firstLine="420" w:firstLineChars="200"/>
        <w:jc w:val="left"/>
      </w:pPr>
      <w:r>
        <w:rPr>
          <w:rFonts w:hint="eastAsia"/>
        </w:rPr>
        <w:t xml:space="preserve">      </w:t>
      </w:r>
      <w:r>
        <w:rPr>
          <w:i/>
        </w:rPr>
        <w:t>l</w:t>
      </w:r>
      <w:r>
        <w:rPr>
          <w:i/>
          <w:iCs/>
        </w:rPr>
        <w:t>——</w:t>
      </w:r>
      <w:r>
        <w:rPr>
          <w:rFonts w:hint="eastAsia"/>
        </w:rPr>
        <w:t>纵桁跨距，m；</w:t>
      </w:r>
    </w:p>
    <w:p>
      <w:pPr>
        <w:adjustRightInd w:val="0"/>
        <w:snapToGrid w:val="0"/>
        <w:ind w:left="420" w:leftChars="200" w:firstLine="420" w:firstLineChars="200"/>
        <w:jc w:val="left"/>
      </w:pPr>
      <w:r>
        <w:rPr>
          <w:rFonts w:hint="eastAsia"/>
        </w:rPr>
        <w:t xml:space="preserve">      </w:t>
      </w:r>
      <w:r>
        <w:rPr>
          <w:i/>
        </w:rPr>
        <w:t>h</w:t>
      </w:r>
      <w:r>
        <w:rPr>
          <w:i/>
          <w:iCs/>
        </w:rPr>
        <w:t>——</w:t>
      </w:r>
      <w:r>
        <w:rPr>
          <w:rFonts w:hint="eastAsia"/>
        </w:rPr>
        <w:t>甲板压头，</w:t>
      </w:r>
      <w:r>
        <w:rPr>
          <w:rFonts w:hint="eastAsia"/>
          <w:i/>
        </w:rPr>
        <w:t>h</w:t>
      </w:r>
      <w:r>
        <w:rPr>
          <w:rFonts w:hint="eastAsia"/>
        </w:rPr>
        <w:t>=0.02</w:t>
      </w:r>
      <w:r>
        <w:rPr>
          <w:rFonts w:hint="eastAsia"/>
          <w:i/>
        </w:rPr>
        <w:t>L</w:t>
      </w:r>
      <w:r>
        <w:rPr>
          <w:rFonts w:hint="eastAsia"/>
        </w:rPr>
        <w:t>+0.76，m；</w:t>
      </w:r>
    </w:p>
    <w:p>
      <w:pPr>
        <w:adjustRightInd w:val="0"/>
        <w:snapToGrid w:val="0"/>
        <w:ind w:left="420" w:leftChars="200" w:firstLine="420" w:firstLineChars="200"/>
        <w:jc w:val="left"/>
      </w:pPr>
      <w:r>
        <w:rPr>
          <w:i/>
        </w:rPr>
        <w:t xml:space="preserve">      </w:t>
      </w:r>
      <w:r>
        <w:rPr>
          <w:i/>
          <w:iCs/>
        </w:rPr>
        <w:t>L</w:t>
      </w:r>
      <w:r>
        <w:t>——船长，m</w:t>
      </w:r>
      <w:r>
        <w:rPr>
          <w:rFonts w:hint="eastAsia"/>
        </w:rPr>
        <w:t>。</w:t>
      </w:r>
    </w:p>
    <w:p>
      <w:pPr>
        <w:adjustRightInd w:val="0"/>
        <w:snapToGrid w:val="0"/>
        <w:ind w:firstLine="422" w:firstLineChars="200"/>
        <w:jc w:val="left"/>
        <w:rPr>
          <w:b/>
        </w:rPr>
      </w:pPr>
    </w:p>
    <w:p>
      <w:pPr>
        <w:adjustRightInd w:val="0"/>
        <w:snapToGrid w:val="0"/>
        <w:ind w:firstLine="422" w:firstLineChars="200"/>
        <w:rPr>
          <w:b/>
        </w:rPr>
      </w:pPr>
      <w:r>
        <w:rPr>
          <w:b/>
        </w:rPr>
        <w:t xml:space="preserve">4.3.3  </w:t>
      </w:r>
      <w:r>
        <w:rPr>
          <w:rFonts w:hint="eastAsia"/>
          <w:b/>
        </w:rPr>
        <w:t>舱壁及</w:t>
      </w:r>
      <w:r>
        <w:rPr>
          <w:b/>
        </w:rPr>
        <w:t>骨架</w:t>
      </w:r>
    </w:p>
    <w:p>
      <w:pPr>
        <w:adjustRightInd w:val="0"/>
        <w:snapToGrid w:val="0"/>
        <w:ind w:firstLine="420" w:firstLineChars="200"/>
      </w:pPr>
      <w:r>
        <w:t xml:space="preserve">4.3.3.1  </w:t>
      </w:r>
      <w:r>
        <w:rPr>
          <w:rFonts w:hint="eastAsia"/>
        </w:rPr>
        <w:t>舱壁</w:t>
      </w:r>
    </w:p>
    <w:p>
      <w:pPr>
        <w:adjustRightInd w:val="0"/>
        <w:snapToGrid w:val="0"/>
        <w:ind w:firstLine="420" w:firstLineChars="200"/>
        <w:rPr>
          <w:szCs w:val="21"/>
        </w:rPr>
      </w:pPr>
      <w:r>
        <w:rPr>
          <w:rFonts w:hint="eastAsia"/>
          <w:szCs w:val="21"/>
        </w:rPr>
        <w:t>（1）普通舱壁的厚度</w:t>
      </w:r>
      <w:r>
        <w:rPr>
          <w:rFonts w:hint="eastAsia"/>
          <w:i/>
          <w:szCs w:val="21"/>
        </w:rPr>
        <w:t>t</w:t>
      </w:r>
      <w:r>
        <w:rPr>
          <w:rFonts w:hint="eastAsia"/>
          <w:szCs w:val="21"/>
        </w:rPr>
        <w:t>应不小于下式计算值：</w:t>
      </w:r>
    </w:p>
    <w:p>
      <w:pPr>
        <w:adjustRightInd w:val="0"/>
        <w:snapToGrid w:val="0"/>
        <w:ind w:firstLine="420" w:firstLineChars="200"/>
        <w:jc w:val="center"/>
        <w:rPr>
          <w:szCs w:val="21"/>
        </w:rPr>
      </w:pPr>
      <m:oMath>
        <m:r>
          <m:rPr>
            <m:nor/>
            <m:sty m:val="p"/>
          </m:rPr>
          <w:rPr>
            <w:rFonts w:ascii="Cambria Math"/>
            <w:b w:val="0"/>
            <w:i w:val="0"/>
            <w:szCs w:val="21"/>
          </w:rPr>
          <m:t xml:space="preserve"> </m:t>
        </m:r>
        <m:r>
          <m:rPr>
            <m:nor/>
          </m:rPr>
          <w:rPr>
            <w:rFonts w:ascii="Cambria Math"/>
            <w:i/>
            <w:szCs w:val="21"/>
          </w:rPr>
          <m:t>t</m:t>
        </m:r>
        <m:r>
          <m:rPr>
            <m:nor/>
            <m:sty m:val="p"/>
          </m:rPr>
          <w:rPr>
            <w:rFonts w:ascii="Cambria Math"/>
            <w:b w:val="0"/>
            <w:i w:val="0"/>
            <w:szCs w:val="21"/>
          </w:rPr>
          <m:t xml:space="preserve"> = </m:t>
        </m:r>
        <m:r>
          <m:rPr>
            <m:nor/>
            <m:sty m:val="p"/>
          </m:rPr>
          <w:rPr>
            <w:b w:val="0"/>
            <w:i w:val="0"/>
            <w:szCs w:val="21"/>
          </w:rPr>
          <m:t>12.0</m:t>
        </m:r>
        <m:r>
          <m:rPr>
            <m:nor/>
          </m:rPr>
          <w:rPr>
            <w:i/>
            <w:szCs w:val="21"/>
          </w:rPr>
          <m:t>s</m:t>
        </m:r>
        <m:rad>
          <m:radPr>
            <m:degHide m:val="1"/>
            <m:ctrlPr>
              <w:rPr>
                <w:rFonts w:ascii="Cambria Math" w:hAnsi="Cambria Math"/>
                <w:szCs w:val="21"/>
              </w:rPr>
            </m:ctrlPr>
          </m:radPr>
          <m:deg>
            <m:ctrlPr>
              <w:rPr>
                <w:rFonts w:ascii="Cambria Math" w:hAnsi="Cambria Math"/>
                <w:szCs w:val="21"/>
              </w:rPr>
            </m:ctrlPr>
          </m:deg>
          <m:e>
            <m:r>
              <m:rPr>
                <m:nor/>
              </m:rPr>
              <w:rPr>
                <w:i/>
                <w:szCs w:val="21"/>
              </w:rPr>
              <m:t>h</m:t>
            </m:r>
            <m:ctrlPr>
              <w:rPr>
                <w:rFonts w:ascii="Cambria Math" w:hAnsi="Cambria Math"/>
                <w:szCs w:val="21"/>
              </w:rPr>
            </m:ctrlPr>
          </m:e>
        </m:rad>
      </m:oMath>
      <w:r>
        <w:rPr>
          <w:rFonts w:hint="eastAsia"/>
          <w:szCs w:val="21"/>
        </w:rPr>
        <w:t xml:space="preserve">         </w:t>
      </w:r>
      <w:r>
        <w:rPr>
          <w:rFonts w:hint="eastAsia"/>
        </w:rPr>
        <w:t>mm</w:t>
      </w:r>
    </w:p>
    <w:p>
      <w:pPr>
        <w:adjustRightInd w:val="0"/>
        <w:snapToGrid w:val="0"/>
        <w:ind w:left="420" w:leftChars="200" w:firstLine="420" w:firstLineChars="200"/>
      </w:pPr>
      <w:r>
        <w:rPr>
          <w:rFonts w:hint="eastAsia"/>
        </w:rPr>
        <w:t>式中：</w:t>
      </w:r>
      <w:r>
        <w:rPr>
          <w:rFonts w:hint="eastAsia"/>
          <w:i/>
        </w:rPr>
        <w:t>s</w:t>
      </w:r>
      <w:r>
        <w:rPr>
          <w:i/>
          <w:iCs/>
        </w:rPr>
        <w:t>——</w:t>
      </w:r>
      <w:r>
        <w:rPr>
          <w:rFonts w:hint="eastAsia"/>
        </w:rPr>
        <w:t>舱壁扶强材间距，m</w:t>
      </w:r>
    </w:p>
    <w:p>
      <w:pPr>
        <w:adjustRightInd w:val="0"/>
        <w:snapToGrid w:val="0"/>
        <w:ind w:left="420" w:leftChars="200" w:firstLine="420" w:firstLineChars="200"/>
      </w:pPr>
      <w:r>
        <w:rPr>
          <w:rFonts w:hint="eastAsia"/>
        </w:rPr>
        <w:t xml:space="preserve">      </w:t>
      </w:r>
      <w:r>
        <w:rPr>
          <w:i/>
        </w:rPr>
        <w:t>h</w:t>
      </w:r>
      <w:r>
        <w:rPr>
          <w:i/>
          <w:iCs/>
        </w:rPr>
        <w:t>——</w:t>
      </w:r>
      <w:r>
        <w:rPr>
          <w:rFonts w:hint="eastAsia"/>
        </w:rPr>
        <w:t>舱壁底部至甲板中心线的高度，m。</w:t>
      </w:r>
    </w:p>
    <w:p>
      <w:pPr>
        <w:adjustRightInd w:val="0"/>
        <w:snapToGrid w:val="0"/>
        <w:ind w:firstLine="420" w:firstLineChars="200"/>
        <w:rPr>
          <w:szCs w:val="21"/>
        </w:rPr>
      </w:pPr>
      <w:r>
        <w:rPr>
          <w:rFonts w:hint="eastAsia"/>
          <w:szCs w:val="21"/>
        </w:rPr>
        <w:t>（2）海洋渔船的舱壁厚度应不小于8mm，内河渔船的舱壁厚度应不小于7mm。</w:t>
      </w:r>
    </w:p>
    <w:p>
      <w:pPr>
        <w:adjustRightInd w:val="0"/>
        <w:snapToGrid w:val="0"/>
        <w:ind w:firstLine="420" w:firstLineChars="200"/>
        <w:rPr>
          <w:szCs w:val="21"/>
        </w:rPr>
      </w:pPr>
      <w:r>
        <w:rPr>
          <w:rFonts w:hint="eastAsia"/>
          <w:szCs w:val="21"/>
        </w:rPr>
        <w:t>（</w:t>
      </w:r>
      <w:r>
        <w:rPr>
          <w:szCs w:val="21"/>
        </w:rPr>
        <w:t>3</w:t>
      </w:r>
      <w:r>
        <w:rPr>
          <w:rFonts w:hint="eastAsia"/>
          <w:szCs w:val="21"/>
        </w:rPr>
        <w:t>）机舱的舱壁厚度应较普通舱壁厚度增加15%。</w:t>
      </w:r>
    </w:p>
    <w:p>
      <w:pPr>
        <w:adjustRightInd w:val="0"/>
        <w:snapToGrid w:val="0"/>
        <w:ind w:firstLine="420" w:firstLineChars="200"/>
        <w:rPr>
          <w:szCs w:val="21"/>
        </w:rPr>
      </w:pPr>
      <w:r>
        <w:t xml:space="preserve">4.3.3.2  </w:t>
      </w:r>
      <w:r>
        <w:rPr>
          <w:rFonts w:hint="eastAsia"/>
          <w:szCs w:val="21"/>
        </w:rPr>
        <w:t>水平桁材</w:t>
      </w:r>
    </w:p>
    <w:p>
      <w:pPr>
        <w:adjustRightInd w:val="0"/>
        <w:snapToGrid w:val="0"/>
        <w:ind w:firstLine="420" w:firstLineChars="200"/>
        <w:rPr>
          <w:szCs w:val="21"/>
        </w:rPr>
      </w:pPr>
      <w:r>
        <w:rPr>
          <w:rFonts w:hint="eastAsia"/>
          <w:szCs w:val="21"/>
        </w:rPr>
        <w:t>（1）水平桁材的剖面模数</w:t>
      </w:r>
      <w:r>
        <w:rPr>
          <w:rFonts w:hint="eastAsia"/>
          <w:i/>
          <w:szCs w:val="21"/>
        </w:rPr>
        <w:t>W</w:t>
      </w:r>
      <w:r>
        <w:rPr>
          <w:rFonts w:hint="eastAsia"/>
          <w:szCs w:val="21"/>
        </w:rPr>
        <w:t>应不小于下式计算值：</w:t>
      </w:r>
    </w:p>
    <w:p>
      <w:pPr>
        <w:adjustRightInd w:val="0"/>
        <w:snapToGrid w:val="0"/>
        <w:ind w:firstLine="420" w:firstLineChars="200"/>
        <w:jc w:val="center"/>
      </w:pPr>
      <w:r>
        <w:rPr>
          <w:i/>
        </w:rPr>
        <w:t>W</w:t>
      </w:r>
      <w:r>
        <w:t>=12.0</w:t>
      </w:r>
      <w:r>
        <w:rPr>
          <w:i/>
        </w:rPr>
        <w:t>shl</w:t>
      </w:r>
      <w:r>
        <w:rPr>
          <w:i/>
          <w:vertAlign w:val="superscript"/>
        </w:rPr>
        <w:t>2</w:t>
      </w:r>
      <w:r>
        <w:rPr>
          <w:rFonts w:hint="eastAsia"/>
        </w:rPr>
        <w:t xml:space="preserve">        </w:t>
      </w:r>
      <w:r>
        <w:t>c</w:t>
      </w:r>
      <w:r>
        <w:rPr>
          <w:rFonts w:hint="eastAsia"/>
        </w:rPr>
        <w:t>m</w:t>
      </w:r>
      <w:r>
        <w:rPr>
          <w:vertAlign w:val="superscript"/>
        </w:rPr>
        <w:t>3</w:t>
      </w:r>
    </w:p>
    <w:p>
      <w:pPr>
        <w:adjustRightInd w:val="0"/>
        <w:snapToGrid w:val="0"/>
        <w:ind w:left="420" w:leftChars="200" w:firstLine="420" w:firstLineChars="200"/>
      </w:pPr>
      <w:r>
        <w:rPr>
          <w:rFonts w:hint="eastAsia"/>
        </w:rPr>
        <w:t>式中：</w:t>
      </w:r>
      <w:r>
        <w:rPr>
          <w:rFonts w:hint="eastAsia"/>
          <w:i/>
        </w:rPr>
        <w:t>s</w:t>
      </w:r>
      <w:r>
        <w:rPr>
          <w:i/>
          <w:iCs/>
        </w:rPr>
        <w:t>——</w:t>
      </w:r>
      <w:r>
        <w:rPr>
          <w:rFonts w:hint="eastAsia"/>
        </w:rPr>
        <w:t>桁材支撑面积的平均宽度，m；</w:t>
      </w:r>
    </w:p>
    <w:p>
      <w:pPr>
        <w:adjustRightInd w:val="0"/>
        <w:snapToGrid w:val="0"/>
        <w:ind w:left="420" w:leftChars="200" w:firstLine="420" w:firstLineChars="200"/>
      </w:pPr>
      <w:r>
        <w:rPr>
          <w:rFonts w:hint="eastAsia"/>
        </w:rPr>
        <w:t xml:space="preserve">      </w:t>
      </w:r>
      <w:r>
        <w:rPr>
          <w:i/>
        </w:rPr>
        <w:t>l</w:t>
      </w:r>
      <w:r>
        <w:rPr>
          <w:i/>
          <w:iCs/>
        </w:rPr>
        <w:t>——</w:t>
      </w:r>
      <w:r>
        <w:rPr>
          <w:rFonts w:hint="eastAsia"/>
        </w:rPr>
        <w:t>桁材跨距，m；</w:t>
      </w:r>
    </w:p>
    <w:p>
      <w:pPr>
        <w:adjustRightInd w:val="0"/>
        <w:snapToGrid w:val="0"/>
        <w:ind w:left="420" w:leftChars="200" w:firstLine="420" w:firstLineChars="200"/>
        <w:rPr>
          <w:szCs w:val="21"/>
        </w:rPr>
      </w:pPr>
      <w:r>
        <w:rPr>
          <w:rFonts w:hint="eastAsia"/>
        </w:rPr>
        <w:t xml:space="preserve">      </w:t>
      </w:r>
      <w:r>
        <w:rPr>
          <w:i/>
        </w:rPr>
        <w:t>h</w:t>
      </w:r>
      <w:r>
        <w:rPr>
          <w:i/>
          <w:iCs/>
        </w:rPr>
        <w:t>——</w:t>
      </w:r>
      <w:r>
        <w:rPr>
          <w:rFonts w:hint="eastAsia"/>
        </w:rPr>
        <w:t>桁材至甲板中心线的垂向距离，m</w:t>
      </w:r>
      <w:r>
        <w:rPr>
          <w:rFonts w:hint="eastAsia"/>
          <w:szCs w:val="21"/>
        </w:rPr>
        <w:t>。</w:t>
      </w:r>
    </w:p>
    <w:p>
      <w:pPr>
        <w:adjustRightInd w:val="0"/>
        <w:snapToGrid w:val="0"/>
        <w:ind w:firstLine="420" w:firstLineChars="200"/>
        <w:rPr>
          <w:szCs w:val="21"/>
        </w:rPr>
      </w:pPr>
      <w:r>
        <w:rPr>
          <w:rFonts w:hint="eastAsia"/>
          <w:szCs w:val="21"/>
        </w:rPr>
        <w:t>（2）机舱舱壁的水平桁材的剖面模数应增加25%。</w:t>
      </w:r>
    </w:p>
    <w:p>
      <w:pPr>
        <w:adjustRightInd w:val="0"/>
        <w:snapToGrid w:val="0"/>
        <w:ind w:firstLine="420" w:firstLineChars="200"/>
        <w:rPr>
          <w:szCs w:val="21"/>
        </w:rPr>
      </w:pPr>
      <w:r>
        <w:t xml:space="preserve">4.3.3.3  </w:t>
      </w:r>
      <w:r>
        <w:rPr>
          <w:rFonts w:hint="eastAsia"/>
          <w:szCs w:val="21"/>
        </w:rPr>
        <w:t>垂向扶强材</w:t>
      </w:r>
    </w:p>
    <w:p>
      <w:pPr>
        <w:adjustRightInd w:val="0"/>
        <w:snapToGrid w:val="0"/>
        <w:ind w:firstLine="420" w:firstLineChars="200"/>
        <w:rPr>
          <w:szCs w:val="21"/>
        </w:rPr>
      </w:pPr>
      <w:r>
        <w:rPr>
          <w:rFonts w:hint="eastAsia"/>
          <w:szCs w:val="21"/>
        </w:rPr>
        <w:t>（1）垂向扶强材的间距应不大于0.5m。</w:t>
      </w:r>
    </w:p>
    <w:p>
      <w:pPr>
        <w:adjustRightInd w:val="0"/>
        <w:snapToGrid w:val="0"/>
        <w:ind w:firstLine="420" w:firstLineChars="200"/>
        <w:rPr>
          <w:szCs w:val="21"/>
        </w:rPr>
      </w:pPr>
      <w:r>
        <w:rPr>
          <w:rFonts w:hint="eastAsia"/>
          <w:szCs w:val="21"/>
        </w:rPr>
        <w:t>（2）垂向扶强材的剖面模数</w:t>
      </w:r>
      <w:r>
        <w:rPr>
          <w:rFonts w:hint="eastAsia"/>
          <w:i/>
          <w:szCs w:val="21"/>
        </w:rPr>
        <w:t>W</w:t>
      </w:r>
      <w:r>
        <w:rPr>
          <w:rFonts w:hint="eastAsia"/>
          <w:szCs w:val="21"/>
        </w:rPr>
        <w:t>应不小于下式计算值：</w:t>
      </w:r>
    </w:p>
    <w:p>
      <w:pPr>
        <w:adjustRightInd w:val="0"/>
        <w:snapToGrid w:val="0"/>
        <w:ind w:firstLine="420" w:firstLineChars="200"/>
        <w:jc w:val="center"/>
        <w:rPr>
          <w:szCs w:val="21"/>
        </w:rPr>
      </w:pPr>
      <w:r>
        <w:rPr>
          <w:i/>
        </w:rPr>
        <w:t>W</w:t>
      </w:r>
      <w:r>
        <w:t>=12.0</w:t>
      </w:r>
      <w:r>
        <w:rPr>
          <w:i/>
        </w:rPr>
        <w:t>shl</w:t>
      </w:r>
      <w:r>
        <w:rPr>
          <w:i/>
          <w:vertAlign w:val="superscript"/>
        </w:rPr>
        <w:t>2</w:t>
      </w:r>
      <w:r>
        <w:rPr>
          <w:rFonts w:hint="eastAsia"/>
        </w:rPr>
        <w:t xml:space="preserve">        </w:t>
      </w:r>
      <w:r>
        <w:t>c</w:t>
      </w:r>
      <w:r>
        <w:rPr>
          <w:rFonts w:hint="eastAsia"/>
        </w:rPr>
        <w:t>m</w:t>
      </w:r>
      <w:r>
        <w:rPr>
          <w:vertAlign w:val="superscript"/>
        </w:rPr>
        <w:t>3</w:t>
      </w:r>
    </w:p>
    <w:p>
      <w:pPr>
        <w:adjustRightInd w:val="0"/>
        <w:snapToGrid w:val="0"/>
        <w:ind w:firstLine="840" w:firstLineChars="400"/>
        <w:rPr>
          <w:szCs w:val="21"/>
        </w:rPr>
      </w:pPr>
      <w:r>
        <w:rPr>
          <w:rFonts w:hint="eastAsia"/>
          <w:szCs w:val="21"/>
        </w:rPr>
        <w:t>式中：</w:t>
      </w:r>
      <w:r>
        <w:rPr>
          <w:rFonts w:hint="eastAsia"/>
          <w:i/>
        </w:rPr>
        <w:t>s</w:t>
      </w:r>
      <w:r>
        <w:rPr>
          <w:i/>
          <w:iCs/>
        </w:rPr>
        <w:t>——</w:t>
      </w:r>
      <w:r>
        <w:rPr>
          <w:rFonts w:hint="eastAsia"/>
          <w:szCs w:val="21"/>
        </w:rPr>
        <w:t>扶强材间距，m；</w:t>
      </w:r>
    </w:p>
    <w:p>
      <w:pPr>
        <w:adjustRightInd w:val="0"/>
        <w:snapToGrid w:val="0"/>
        <w:ind w:firstLine="420" w:firstLineChars="200"/>
        <w:rPr>
          <w:szCs w:val="21"/>
        </w:rPr>
      </w:pPr>
      <w:r>
        <w:rPr>
          <w:szCs w:val="21"/>
        </w:rPr>
        <w:t xml:space="preserve">          </w:t>
      </w:r>
      <w:r>
        <w:rPr>
          <w:i/>
        </w:rPr>
        <w:t>l</w:t>
      </w:r>
      <w:r>
        <w:rPr>
          <w:i/>
          <w:iCs/>
        </w:rPr>
        <w:t>——</w:t>
      </w:r>
      <w:r>
        <w:rPr>
          <w:rFonts w:hint="eastAsia"/>
          <w:szCs w:val="21"/>
        </w:rPr>
        <w:t>扶强材跨距，</w:t>
      </w:r>
      <w:r>
        <w:rPr>
          <w:szCs w:val="21"/>
        </w:rPr>
        <w:t>m</w:t>
      </w:r>
      <w:r>
        <w:rPr>
          <w:rFonts w:hint="eastAsia"/>
          <w:szCs w:val="21"/>
        </w:rPr>
        <w:t>，水平桁材可视为支撑点；</w:t>
      </w:r>
    </w:p>
    <w:p>
      <w:pPr>
        <w:adjustRightInd w:val="0"/>
        <w:snapToGrid w:val="0"/>
        <w:ind w:firstLine="420" w:firstLineChars="200"/>
        <w:rPr>
          <w:szCs w:val="21"/>
        </w:rPr>
      </w:pPr>
      <w:r>
        <w:rPr>
          <w:szCs w:val="21"/>
        </w:rPr>
        <w:t xml:space="preserve">          </w:t>
      </w:r>
      <w:r>
        <w:rPr>
          <w:i/>
        </w:rPr>
        <w:t>h</w:t>
      </w:r>
      <w:r>
        <w:rPr>
          <w:i/>
          <w:iCs/>
        </w:rPr>
        <w:t>——</w:t>
      </w:r>
      <w:r>
        <w:rPr>
          <w:rFonts w:hint="eastAsia"/>
          <w:szCs w:val="21"/>
        </w:rPr>
        <w:t>从扶强材跨距中点量到甲板中心线的距离，m。</w:t>
      </w:r>
    </w:p>
    <w:p>
      <w:pPr>
        <w:adjustRightInd w:val="0"/>
        <w:snapToGrid w:val="0"/>
        <w:ind w:firstLine="420" w:firstLineChars="200"/>
        <w:rPr>
          <w:szCs w:val="21"/>
        </w:rPr>
      </w:pPr>
      <w:r>
        <w:t xml:space="preserve">4.3.3.4  </w:t>
      </w:r>
      <w:r>
        <w:rPr>
          <w:rFonts w:hint="eastAsia"/>
        </w:rPr>
        <w:t>舱壁设置</w:t>
      </w:r>
      <w:r>
        <w:t>原则</w:t>
      </w:r>
    </w:p>
    <w:p>
      <w:pPr>
        <w:adjustRightInd w:val="0"/>
        <w:snapToGrid w:val="0"/>
        <w:ind w:firstLine="420" w:firstLineChars="200"/>
        <w:rPr>
          <w:szCs w:val="21"/>
        </w:rPr>
      </w:pPr>
      <w:r>
        <w:rPr>
          <w:rFonts w:hint="eastAsia"/>
          <w:szCs w:val="21"/>
        </w:rPr>
        <w:t>（1）</w:t>
      </w:r>
      <w:r>
        <w:rPr>
          <w:szCs w:val="21"/>
        </w:rPr>
        <w:t>船舶在船首和船尾均应设l道水密舱壁，机舱前壁应为水密舱壁。</w:t>
      </w:r>
    </w:p>
    <w:p>
      <w:pPr>
        <w:adjustRightInd w:val="0"/>
        <w:snapToGrid w:val="0"/>
        <w:ind w:firstLine="420" w:firstLineChars="200"/>
        <w:rPr>
          <w:szCs w:val="21"/>
        </w:rPr>
      </w:pPr>
      <w:r>
        <w:rPr>
          <w:rFonts w:hint="eastAsia"/>
          <w:szCs w:val="21"/>
        </w:rPr>
        <w:t>（2）</w:t>
      </w:r>
      <w:r>
        <w:rPr>
          <w:szCs w:val="21"/>
        </w:rPr>
        <w:t>水密舱壁高度应延伸至干舷甲板或艏、艉升高甲板。</w:t>
      </w:r>
    </w:p>
    <w:p>
      <w:pPr>
        <w:adjustRightInd w:val="0"/>
        <w:snapToGrid w:val="0"/>
        <w:ind w:firstLine="420" w:firstLineChars="200"/>
        <w:rPr>
          <w:szCs w:val="21"/>
        </w:rPr>
      </w:pPr>
      <w:r>
        <w:rPr>
          <w:rFonts w:hint="eastAsia"/>
          <w:szCs w:val="21"/>
        </w:rPr>
        <w:t>（3）</w:t>
      </w:r>
      <w:r>
        <w:rPr>
          <w:szCs w:val="21"/>
        </w:rPr>
        <w:t>防撞舱壁应在距艏垂线(0.1L～2)m范围内合理设置。防撞舱壁上不允许设置门，但允许设置用螺栓固定的水密人孔盖。电缆、舵链等穿过水密舱壁时，应沿干舷甲板下表面敷设。</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63" w:name="_Toc50386766"/>
      <w:bookmarkStart w:id="64" w:name="_Toc70411347"/>
      <w:r>
        <w:rPr>
          <w:rFonts w:eastAsia="楷体"/>
          <w:b w:val="0"/>
          <w:bCs w:val="0"/>
          <w:snapToGrid w:val="0"/>
          <w:kern w:val="0"/>
          <w:sz w:val="28"/>
          <w:szCs w:val="20"/>
        </w:rPr>
        <w:t>第4节</w:t>
      </w:r>
      <w:bookmarkEnd w:id="63"/>
      <w:r>
        <w:rPr>
          <w:rFonts w:eastAsia="楷体"/>
          <w:b w:val="0"/>
          <w:bCs w:val="0"/>
          <w:snapToGrid w:val="0"/>
          <w:kern w:val="0"/>
          <w:sz w:val="28"/>
          <w:szCs w:val="20"/>
        </w:rPr>
        <w:t xml:space="preserve">  </w:t>
      </w:r>
      <w:r>
        <w:rPr>
          <w:rFonts w:hint="eastAsia" w:eastAsia="楷体"/>
          <w:b w:val="0"/>
          <w:bCs w:val="0"/>
          <w:snapToGrid w:val="0"/>
          <w:kern w:val="0"/>
          <w:sz w:val="28"/>
          <w:szCs w:val="20"/>
        </w:rPr>
        <w:t>龙骨</w:t>
      </w:r>
      <w:bookmarkEnd w:id="64"/>
    </w:p>
    <w:p>
      <w:pPr>
        <w:adjustRightInd w:val="0"/>
        <w:snapToGrid w:val="0"/>
        <w:ind w:firstLine="420" w:firstLineChars="200"/>
        <w:rPr>
          <w:szCs w:val="21"/>
        </w:rPr>
      </w:pPr>
      <w:r>
        <w:t>4</w:t>
      </w:r>
      <w:r>
        <w:rPr>
          <w:szCs w:val="21"/>
        </w:rPr>
        <w:t xml:space="preserve">.4.1  </w:t>
      </w:r>
      <w:bookmarkStart w:id="65" w:name="_Toc18316"/>
      <w:bookmarkStart w:id="66" w:name="_Toc6067"/>
      <w:r>
        <w:rPr>
          <w:rFonts w:hint="eastAsia"/>
          <w:szCs w:val="21"/>
        </w:rPr>
        <w:t>船宽</w:t>
      </w:r>
      <w:r>
        <w:rPr>
          <w:szCs w:val="21"/>
        </w:rPr>
        <w:t>大于</w:t>
      </w:r>
      <w:r>
        <w:rPr>
          <w:rFonts w:hint="eastAsia"/>
          <w:szCs w:val="21"/>
        </w:rPr>
        <w:t>2</w:t>
      </w:r>
      <w:r>
        <w:rPr>
          <w:szCs w:val="21"/>
        </w:rPr>
        <w:t>m</w:t>
      </w:r>
      <w:r>
        <w:rPr>
          <w:rFonts w:hint="eastAsia"/>
          <w:szCs w:val="21"/>
        </w:rPr>
        <w:t>，应设中内龙骨或左右旁内龙骨。</w:t>
      </w:r>
      <w:bookmarkEnd w:id="65"/>
      <w:bookmarkEnd w:id="66"/>
    </w:p>
    <w:p>
      <w:pPr>
        <w:adjustRightInd w:val="0"/>
        <w:snapToGrid w:val="0"/>
        <w:ind w:firstLine="420" w:firstLineChars="200"/>
        <w:rPr>
          <w:szCs w:val="21"/>
        </w:rPr>
      </w:pPr>
      <w:bookmarkStart w:id="67" w:name="_Toc7208"/>
      <w:bookmarkStart w:id="68" w:name="_Toc27333"/>
      <w:r>
        <w:t>4</w:t>
      </w:r>
      <w:r>
        <w:rPr>
          <w:szCs w:val="21"/>
        </w:rPr>
        <w:t xml:space="preserve">.4.2  </w:t>
      </w:r>
      <w:r>
        <w:rPr>
          <w:rFonts w:hint="eastAsia"/>
          <w:szCs w:val="21"/>
        </w:rPr>
        <w:t>中内龙骨应与肋板等高，其面板及腹板的厚度应不小于4.</w:t>
      </w:r>
      <w:r>
        <w:rPr>
          <w:szCs w:val="21"/>
        </w:rPr>
        <w:t>3</w:t>
      </w:r>
      <w:r>
        <w:rPr>
          <w:rFonts w:hint="eastAsia"/>
          <w:szCs w:val="21"/>
        </w:rPr>
        <w:t>.</w:t>
      </w:r>
      <w:r>
        <w:rPr>
          <w:szCs w:val="21"/>
        </w:rPr>
        <w:t>1</w:t>
      </w:r>
      <w:r>
        <w:rPr>
          <w:rFonts w:hint="eastAsia"/>
          <w:szCs w:val="21"/>
        </w:rPr>
        <w:t>.</w:t>
      </w:r>
      <w:r>
        <w:rPr>
          <w:szCs w:val="21"/>
        </w:rPr>
        <w:t>1</w:t>
      </w:r>
      <w:r>
        <w:rPr>
          <w:rFonts w:hint="eastAsia"/>
          <w:szCs w:val="21"/>
        </w:rPr>
        <w:t>的计算值。</w:t>
      </w:r>
      <w:bookmarkEnd w:id="67"/>
      <w:bookmarkEnd w:id="68"/>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69" w:name="_Toc70411348"/>
      <w:r>
        <w:rPr>
          <w:rFonts w:eastAsia="楷体"/>
          <w:b w:val="0"/>
          <w:bCs w:val="0"/>
          <w:snapToGrid w:val="0"/>
          <w:kern w:val="0"/>
          <w:sz w:val="28"/>
          <w:szCs w:val="20"/>
        </w:rPr>
        <w:t xml:space="preserve">第5节  </w:t>
      </w:r>
      <w:r>
        <w:rPr>
          <w:rFonts w:hint="eastAsia" w:eastAsia="楷体"/>
          <w:b w:val="0"/>
          <w:bCs w:val="0"/>
          <w:snapToGrid w:val="0"/>
          <w:kern w:val="0"/>
          <w:sz w:val="28"/>
          <w:szCs w:val="20"/>
        </w:rPr>
        <w:t>主机</w:t>
      </w:r>
      <w:r>
        <w:rPr>
          <w:rFonts w:eastAsia="楷体"/>
          <w:b w:val="0"/>
          <w:bCs w:val="0"/>
          <w:snapToGrid w:val="0"/>
          <w:kern w:val="0"/>
          <w:sz w:val="28"/>
          <w:szCs w:val="20"/>
        </w:rPr>
        <w:t>基座</w:t>
      </w:r>
      <w:bookmarkEnd w:id="69"/>
    </w:p>
    <w:p>
      <w:pPr>
        <w:adjustRightInd w:val="0"/>
        <w:snapToGrid w:val="0"/>
        <w:ind w:firstLine="420" w:firstLineChars="200"/>
      </w:pPr>
      <w:r>
        <w:t>4</w:t>
      </w:r>
      <w:r>
        <w:rPr>
          <w:szCs w:val="21"/>
        </w:rPr>
        <w:t xml:space="preserve">.5.1  </w:t>
      </w:r>
      <w:r>
        <w:rPr>
          <w:rFonts w:hint="eastAsia"/>
        </w:rPr>
        <w:t>机舱内的主机座前后端须设置实肋板，</w:t>
      </w:r>
      <w:r>
        <w:rPr>
          <w:rFonts w:hint="eastAsia"/>
          <w:szCs w:val="21"/>
        </w:rPr>
        <w:t>基座纵桁两侧加强的聚乙烯板材厚度应不小于按4.</w:t>
      </w:r>
      <w:r>
        <w:rPr>
          <w:szCs w:val="21"/>
        </w:rPr>
        <w:t>3</w:t>
      </w:r>
      <w:r>
        <w:rPr>
          <w:rFonts w:hint="eastAsia"/>
          <w:szCs w:val="21"/>
        </w:rPr>
        <w:t>.</w:t>
      </w:r>
      <w:r>
        <w:rPr>
          <w:szCs w:val="21"/>
        </w:rPr>
        <w:t>1</w:t>
      </w:r>
      <w:r>
        <w:rPr>
          <w:rFonts w:hint="eastAsia"/>
          <w:szCs w:val="21"/>
        </w:rPr>
        <w:t>.</w:t>
      </w:r>
      <w:r>
        <w:rPr>
          <w:szCs w:val="21"/>
        </w:rPr>
        <w:t>1</w:t>
      </w:r>
      <w:r>
        <w:rPr>
          <w:rFonts w:hint="eastAsia"/>
          <w:szCs w:val="21"/>
        </w:rPr>
        <w:t>船体外板厚度值。</w:t>
      </w:r>
    </w:p>
    <w:p>
      <w:pPr>
        <w:adjustRightInd w:val="0"/>
        <w:snapToGrid w:val="0"/>
        <w:ind w:firstLine="420" w:firstLineChars="200"/>
        <w:rPr>
          <w:szCs w:val="21"/>
        </w:rPr>
      </w:pPr>
      <w:r>
        <w:t>4</w:t>
      </w:r>
      <w:r>
        <w:rPr>
          <w:szCs w:val="21"/>
        </w:rPr>
        <w:t xml:space="preserve">.5.2  </w:t>
      </w:r>
      <w:r>
        <w:rPr>
          <w:rFonts w:hint="eastAsia"/>
          <w:szCs w:val="21"/>
        </w:rPr>
        <w:t>主机基座由聚乙烯板材和钢质型材螺栓连接。</w:t>
      </w:r>
    </w:p>
    <w:p>
      <w:pPr>
        <w:adjustRightInd w:val="0"/>
        <w:snapToGrid w:val="0"/>
        <w:ind w:firstLine="420" w:firstLineChars="200"/>
        <w:rPr>
          <w:szCs w:val="21"/>
        </w:rPr>
      </w:pPr>
      <w:r>
        <w:t>4</w:t>
      </w:r>
      <w:r>
        <w:rPr>
          <w:szCs w:val="21"/>
        </w:rPr>
        <w:t xml:space="preserve">.5.3  </w:t>
      </w:r>
      <w:r>
        <w:rPr>
          <w:rFonts w:hint="eastAsia"/>
          <w:szCs w:val="21"/>
        </w:rPr>
        <w:t>主机基座聚乙烯板材应与船底板、肋板进行有效连接。</w:t>
      </w:r>
    </w:p>
    <w:p>
      <w:pPr>
        <w:adjustRightInd w:val="0"/>
        <w:snapToGrid w:val="0"/>
        <w:ind w:firstLine="420" w:firstLineChars="200"/>
      </w:pPr>
      <w:r>
        <w:t>4</w:t>
      </w:r>
      <w:r>
        <w:rPr>
          <w:szCs w:val="21"/>
        </w:rPr>
        <w:t xml:space="preserve">.5.4  </w:t>
      </w:r>
      <w:r>
        <w:rPr>
          <w:rFonts w:hint="eastAsia"/>
        </w:rPr>
        <w:t>在机舱每个肋位均应设置实肋板，在推力轴承处须另行加强。</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70" w:name="_Toc70411349"/>
      <w:r>
        <w:rPr>
          <w:rFonts w:eastAsia="楷体"/>
          <w:b w:val="0"/>
          <w:bCs w:val="0"/>
          <w:snapToGrid w:val="0"/>
          <w:kern w:val="0"/>
          <w:sz w:val="28"/>
          <w:szCs w:val="20"/>
        </w:rPr>
        <w:t xml:space="preserve">第6节  </w:t>
      </w:r>
      <w:r>
        <w:rPr>
          <w:rFonts w:hint="eastAsia" w:eastAsia="楷体"/>
          <w:b w:val="0"/>
          <w:bCs w:val="0"/>
          <w:snapToGrid w:val="0"/>
          <w:kern w:val="0"/>
          <w:sz w:val="28"/>
          <w:szCs w:val="20"/>
        </w:rPr>
        <w:t>局部加强</w:t>
      </w:r>
      <w:bookmarkEnd w:id="70"/>
    </w:p>
    <w:p>
      <w:pPr>
        <w:adjustRightInd w:val="0"/>
        <w:snapToGrid w:val="0"/>
        <w:ind w:firstLine="420" w:firstLineChars="200"/>
        <w:rPr>
          <w:szCs w:val="21"/>
        </w:rPr>
      </w:pPr>
      <w:r>
        <w:t>4</w:t>
      </w:r>
      <w:r>
        <w:rPr>
          <w:szCs w:val="21"/>
        </w:rPr>
        <w:t xml:space="preserve">.6.1  </w:t>
      </w:r>
      <w:r>
        <w:rPr>
          <w:rFonts w:hint="eastAsia"/>
          <w:szCs w:val="21"/>
        </w:rPr>
        <w:t>尾封板的厚度应不小于舷侧板厚度的</w:t>
      </w:r>
      <w:r>
        <w:rPr>
          <w:szCs w:val="21"/>
        </w:rPr>
        <w:t>1.2</w:t>
      </w:r>
      <w:r>
        <w:rPr>
          <w:rFonts w:hint="eastAsia"/>
          <w:szCs w:val="21"/>
        </w:rPr>
        <w:t>倍，</w:t>
      </w:r>
      <w:r>
        <w:rPr>
          <w:szCs w:val="21"/>
        </w:rPr>
        <w:t>且有</w:t>
      </w:r>
      <w:r>
        <w:rPr>
          <w:rFonts w:hint="eastAsia"/>
          <w:szCs w:val="21"/>
        </w:rPr>
        <w:t>可靠的支撑或加强。</w:t>
      </w:r>
    </w:p>
    <w:p>
      <w:pPr>
        <w:adjustRightInd w:val="0"/>
        <w:snapToGrid w:val="0"/>
        <w:ind w:firstLine="420" w:firstLineChars="200"/>
        <w:rPr>
          <w:szCs w:val="21"/>
        </w:rPr>
      </w:pPr>
      <w:r>
        <w:t>4</w:t>
      </w:r>
      <w:r>
        <w:rPr>
          <w:szCs w:val="21"/>
        </w:rPr>
        <w:t xml:space="preserve">.6.2  </w:t>
      </w:r>
      <w:r>
        <w:rPr>
          <w:rFonts w:hint="eastAsia"/>
          <w:szCs w:val="21"/>
        </w:rPr>
        <w:t>对尾挂机架、舵柱及其附体等贯穿船体处的外板或锚泊、系泊、拖带的强力点部位的板应予适当加强。</w:t>
      </w:r>
    </w:p>
    <w:p>
      <w:pPr>
        <w:adjustRightInd w:val="0"/>
        <w:snapToGrid w:val="0"/>
        <w:ind w:firstLine="420" w:firstLineChars="200"/>
        <w:rPr>
          <w:szCs w:val="21"/>
        </w:rPr>
      </w:pPr>
      <w:r>
        <w:t>4</w:t>
      </w:r>
      <w:r>
        <w:rPr>
          <w:szCs w:val="21"/>
        </w:rPr>
        <w:t xml:space="preserve">.6.3  </w:t>
      </w:r>
      <w:r>
        <w:rPr>
          <w:rFonts w:hint="eastAsia"/>
          <w:szCs w:val="21"/>
        </w:rPr>
        <w:t>应尽量避免在外板上开口；如需开口，则开口角隅应为圆角。对大开口还应根据具体情况予以补偿。</w:t>
      </w:r>
    </w:p>
    <w:p>
      <w:pPr>
        <w:adjustRightInd w:val="0"/>
        <w:snapToGrid w:val="0"/>
        <w:ind w:firstLine="420" w:firstLineChars="200"/>
        <w:rPr>
          <w:szCs w:val="21"/>
        </w:rPr>
      </w:pPr>
      <w:r>
        <w:t>4</w:t>
      </w:r>
      <w:r>
        <w:rPr>
          <w:szCs w:val="21"/>
        </w:rPr>
        <w:t xml:space="preserve">.6.4  </w:t>
      </w:r>
      <w:r>
        <w:rPr>
          <w:rFonts w:hint="eastAsia"/>
          <w:szCs w:val="21"/>
        </w:rPr>
        <w:t>上层建筑或甲板室侧壁上如开门、窗、孔，其角隅应尽可能为圆角，若需用直角开口，则应进行足够的加强。</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71" w:name="_Toc70411350"/>
      <w:r>
        <w:rPr>
          <w:rFonts w:eastAsia="楷体"/>
          <w:b w:val="0"/>
          <w:bCs w:val="0"/>
          <w:snapToGrid w:val="0"/>
          <w:kern w:val="0"/>
          <w:sz w:val="28"/>
          <w:szCs w:val="20"/>
        </w:rPr>
        <w:t xml:space="preserve">第7节  </w:t>
      </w:r>
      <w:r>
        <w:rPr>
          <w:rFonts w:hint="eastAsia" w:eastAsia="楷体"/>
          <w:b w:val="0"/>
          <w:bCs w:val="0"/>
          <w:snapToGrid w:val="0"/>
          <w:kern w:val="0"/>
          <w:sz w:val="28"/>
          <w:szCs w:val="20"/>
        </w:rPr>
        <w:t>滚塑成型结构</w:t>
      </w:r>
      <w:r>
        <w:rPr>
          <w:rFonts w:eastAsia="楷体"/>
          <w:b w:val="0"/>
          <w:bCs w:val="0"/>
          <w:snapToGrid w:val="0"/>
          <w:kern w:val="0"/>
          <w:sz w:val="28"/>
          <w:szCs w:val="20"/>
        </w:rPr>
        <w:t>的特殊要求</w:t>
      </w:r>
      <w:bookmarkEnd w:id="71"/>
    </w:p>
    <w:p>
      <w:pPr>
        <w:adjustRightInd w:val="0"/>
        <w:snapToGrid w:val="0"/>
        <w:ind w:firstLine="420" w:firstLineChars="200"/>
        <w:rPr>
          <w:szCs w:val="21"/>
        </w:rPr>
      </w:pPr>
      <w:r>
        <w:t>4</w:t>
      </w:r>
      <w:r>
        <w:rPr>
          <w:szCs w:val="21"/>
        </w:rPr>
        <w:t xml:space="preserve">.7.1  </w:t>
      </w:r>
      <w:r>
        <w:rPr>
          <w:rFonts w:hint="eastAsia"/>
          <w:szCs w:val="21"/>
        </w:rPr>
        <w:t>单壳</w:t>
      </w:r>
      <w:r>
        <w:rPr>
          <w:szCs w:val="21"/>
        </w:rPr>
        <w:t>结构和双壳结构的船壳板必须一</w:t>
      </w:r>
      <w:r>
        <w:rPr>
          <w:rFonts w:hint="eastAsia"/>
          <w:szCs w:val="21"/>
        </w:rPr>
        <w:t>次</w:t>
      </w:r>
      <w:r>
        <w:rPr>
          <w:szCs w:val="21"/>
        </w:rPr>
        <w:t>整体成型。</w:t>
      </w:r>
    </w:p>
    <w:p>
      <w:pPr>
        <w:adjustRightInd w:val="0"/>
        <w:snapToGrid w:val="0"/>
        <w:ind w:firstLine="420" w:firstLineChars="200"/>
        <w:rPr>
          <w:szCs w:val="21"/>
        </w:rPr>
      </w:pPr>
      <w:r>
        <w:t>4</w:t>
      </w:r>
      <w:r>
        <w:rPr>
          <w:szCs w:val="21"/>
        </w:rPr>
        <w:t xml:space="preserve">.7.2  </w:t>
      </w:r>
      <w:r>
        <w:rPr>
          <w:rFonts w:hint="eastAsia"/>
          <w:szCs w:val="21"/>
        </w:rPr>
        <w:t>双壳</w:t>
      </w:r>
      <w:r>
        <w:rPr>
          <w:szCs w:val="21"/>
        </w:rPr>
        <w:t>结构的船体内板与外板之间应进行</w:t>
      </w:r>
      <w:r>
        <w:rPr>
          <w:rFonts w:hint="eastAsia"/>
          <w:szCs w:val="21"/>
        </w:rPr>
        <w:t>有效</w:t>
      </w:r>
      <w:r>
        <w:rPr>
          <w:szCs w:val="21"/>
        </w:rPr>
        <w:t>连接，</w:t>
      </w:r>
      <w:r>
        <w:rPr>
          <w:rFonts w:hint="eastAsia"/>
          <w:szCs w:val="21"/>
        </w:rPr>
        <w:t>但</w:t>
      </w:r>
      <w:r>
        <w:rPr>
          <w:szCs w:val="21"/>
        </w:rPr>
        <w:t>双壳结构件中的</w:t>
      </w:r>
      <w:r>
        <w:rPr>
          <w:rFonts w:hint="eastAsia"/>
          <w:szCs w:val="21"/>
        </w:rPr>
        <w:t>舵</w:t>
      </w:r>
      <w:r>
        <w:rPr>
          <w:szCs w:val="21"/>
        </w:rPr>
        <w:t>机舱</w:t>
      </w:r>
      <w:r>
        <w:rPr>
          <w:rFonts w:hint="eastAsia"/>
          <w:szCs w:val="21"/>
        </w:rPr>
        <w:t>与</w:t>
      </w:r>
      <w:r>
        <w:rPr>
          <w:szCs w:val="21"/>
        </w:rPr>
        <w:t>艏尖舱</w:t>
      </w:r>
      <w:r>
        <w:rPr>
          <w:rFonts w:hint="eastAsia"/>
          <w:szCs w:val="21"/>
        </w:rPr>
        <w:t>可为</w:t>
      </w:r>
      <w:r>
        <w:rPr>
          <w:szCs w:val="21"/>
        </w:rPr>
        <w:t>单壳结构。</w:t>
      </w:r>
    </w:p>
    <w:p>
      <w:pPr>
        <w:adjustRightInd w:val="0"/>
        <w:snapToGrid w:val="0"/>
        <w:ind w:firstLine="420" w:firstLineChars="200"/>
        <w:rPr>
          <w:szCs w:val="21"/>
        </w:rPr>
      </w:pPr>
      <w:r>
        <w:t>4</w:t>
      </w:r>
      <w:r>
        <w:rPr>
          <w:szCs w:val="21"/>
        </w:rPr>
        <w:t xml:space="preserve">.7.3  </w:t>
      </w:r>
      <w:r>
        <w:rPr>
          <w:rFonts w:hint="eastAsia"/>
          <w:szCs w:val="21"/>
        </w:rPr>
        <w:t>船长</w:t>
      </w:r>
      <w:r>
        <w:rPr>
          <w:szCs w:val="21"/>
        </w:rPr>
        <w:t>小于10m</w:t>
      </w:r>
      <w:r>
        <w:rPr>
          <w:rFonts w:hint="eastAsia"/>
          <w:szCs w:val="21"/>
        </w:rPr>
        <w:t>内河</w:t>
      </w:r>
      <w:r>
        <w:rPr>
          <w:szCs w:val="21"/>
        </w:rPr>
        <w:t>和</w:t>
      </w:r>
      <w:r>
        <w:rPr>
          <w:rFonts w:hint="eastAsia"/>
          <w:szCs w:val="21"/>
        </w:rPr>
        <w:t>船长</w:t>
      </w:r>
      <w:r>
        <w:rPr>
          <w:szCs w:val="21"/>
        </w:rPr>
        <w:t>小于</w:t>
      </w:r>
      <w:r>
        <w:rPr>
          <w:rFonts w:hint="eastAsia"/>
          <w:szCs w:val="21"/>
        </w:rPr>
        <w:t>7</w:t>
      </w:r>
      <w:r>
        <w:rPr>
          <w:szCs w:val="21"/>
        </w:rPr>
        <w:t>m</w:t>
      </w:r>
      <w:r>
        <w:rPr>
          <w:rFonts w:hint="eastAsia"/>
          <w:szCs w:val="21"/>
        </w:rPr>
        <w:t>沿海的滚塑</w:t>
      </w:r>
      <w:r>
        <w:rPr>
          <w:szCs w:val="21"/>
        </w:rPr>
        <w:t>成型</w:t>
      </w:r>
      <w:r>
        <w:rPr>
          <w:rFonts w:hint="eastAsia"/>
          <w:szCs w:val="21"/>
        </w:rPr>
        <w:t>双壳</w:t>
      </w:r>
      <w:r>
        <w:rPr>
          <w:szCs w:val="21"/>
        </w:rPr>
        <w:t>结构</w:t>
      </w:r>
      <w:r>
        <w:rPr>
          <w:rFonts w:hint="eastAsia"/>
          <w:szCs w:val="21"/>
        </w:rPr>
        <w:t>渔船</w:t>
      </w:r>
      <w:r>
        <w:rPr>
          <w:szCs w:val="21"/>
        </w:rPr>
        <w:t>，</w:t>
      </w:r>
      <w:r>
        <w:rPr>
          <w:rFonts w:hint="eastAsia"/>
          <w:szCs w:val="21"/>
        </w:rPr>
        <w:t>应</w:t>
      </w:r>
      <w:r>
        <w:rPr>
          <w:szCs w:val="21"/>
        </w:rPr>
        <w:t>采用</w:t>
      </w:r>
      <w:r>
        <w:rPr>
          <w:rFonts w:hint="eastAsia"/>
          <w:szCs w:val="21"/>
        </w:rPr>
        <w:t>压筋的方法予以加强，且</w:t>
      </w:r>
      <w:r>
        <w:rPr>
          <w:szCs w:val="21"/>
        </w:rPr>
        <w:t>不设</w:t>
      </w:r>
      <w:r>
        <w:rPr>
          <w:rFonts w:hint="eastAsia"/>
          <w:szCs w:val="21"/>
        </w:rPr>
        <w:t>其他</w:t>
      </w:r>
      <w:r>
        <w:rPr>
          <w:szCs w:val="21"/>
        </w:rPr>
        <w:t>骨架，但</w:t>
      </w:r>
      <w:r>
        <w:rPr>
          <w:rFonts w:hint="eastAsia"/>
          <w:szCs w:val="21"/>
        </w:rPr>
        <w:t>该</w:t>
      </w:r>
      <w:r>
        <w:rPr>
          <w:szCs w:val="21"/>
        </w:rPr>
        <w:t>压筋</w:t>
      </w:r>
      <w:r>
        <w:rPr>
          <w:rFonts w:hint="eastAsia"/>
          <w:szCs w:val="21"/>
        </w:rPr>
        <w:t>应与板壳</w:t>
      </w:r>
      <w:r>
        <w:rPr>
          <w:szCs w:val="21"/>
        </w:rPr>
        <w:t>一并</w:t>
      </w:r>
      <w:r>
        <w:rPr>
          <w:rFonts w:hint="eastAsia"/>
          <w:szCs w:val="21"/>
        </w:rPr>
        <w:t>滚塑</w:t>
      </w:r>
      <w:r>
        <w:rPr>
          <w:szCs w:val="21"/>
        </w:rPr>
        <w:t>成型。</w:t>
      </w:r>
      <w:r>
        <w:rPr>
          <w:rFonts w:hint="eastAsia"/>
          <w:szCs w:val="21"/>
        </w:rPr>
        <w:t>加强材的截面几何形状应为封闭式，其横剖面不应有显著或突然变化，末端应削斜或与其他加强材或船体构件连接，压筋间距应不大于0.20</w:t>
      </w:r>
      <w:r>
        <w:rPr>
          <w:szCs w:val="21"/>
        </w:rPr>
        <w:t>m</w:t>
      </w:r>
      <w:r>
        <w:rPr>
          <w:rFonts w:hint="eastAsia"/>
          <w:szCs w:val="21"/>
        </w:rPr>
        <w:t>。</w:t>
      </w:r>
    </w:p>
    <w:p>
      <w:pPr>
        <w:adjustRightInd w:val="0"/>
        <w:snapToGrid w:val="0"/>
        <w:ind w:firstLine="420" w:firstLineChars="200"/>
        <w:rPr>
          <w:color w:val="2E75B6" w:themeColor="accent1" w:themeShade="BF"/>
        </w:rPr>
      </w:pPr>
      <w:r>
        <w:rPr>
          <w:color w:val="2E75B6" w:themeColor="accent1" w:themeShade="BF"/>
        </w:rPr>
        <w:br w:type="page"/>
      </w:r>
    </w:p>
    <w:p>
      <w:pPr>
        <w:pStyle w:val="2"/>
        <w:autoSpaceDE w:val="0"/>
        <w:autoSpaceDN w:val="0"/>
        <w:snapToGrid/>
        <w:spacing w:before="240" w:after="240" w:line="240" w:lineRule="auto"/>
        <w:textAlignment w:val="baseline"/>
        <w:rPr>
          <w:bCs w:val="0"/>
          <w:szCs w:val="20"/>
        </w:rPr>
      </w:pPr>
      <w:bookmarkStart w:id="72" w:name="_Toc70411351"/>
      <w:r>
        <w:rPr>
          <w:bCs w:val="0"/>
          <w:szCs w:val="20"/>
        </w:rPr>
        <w:t>第5</w:t>
      </w:r>
      <w:r>
        <w:rPr>
          <w:rFonts w:hint="eastAsia"/>
          <w:bCs w:val="0"/>
          <w:szCs w:val="20"/>
        </w:rPr>
        <w:t>章</w:t>
      </w:r>
      <w:r>
        <w:rPr>
          <w:bCs w:val="0"/>
          <w:szCs w:val="20"/>
        </w:rPr>
        <w:t xml:space="preserve">  </w:t>
      </w:r>
      <w:r>
        <w:rPr>
          <w:rFonts w:hint="eastAsia"/>
          <w:bCs w:val="0"/>
          <w:szCs w:val="20"/>
        </w:rPr>
        <w:t>机械设备</w:t>
      </w:r>
      <w:r>
        <w:rPr>
          <w:bCs w:val="0"/>
          <w:szCs w:val="20"/>
        </w:rPr>
        <w:t>和电气设备</w:t>
      </w:r>
      <w:bookmarkEnd w:id="72"/>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73" w:name="_Toc70411352"/>
      <w:r>
        <w:rPr>
          <w:rFonts w:eastAsia="楷体"/>
          <w:b w:val="0"/>
          <w:bCs w:val="0"/>
          <w:snapToGrid w:val="0"/>
          <w:kern w:val="0"/>
          <w:sz w:val="28"/>
          <w:szCs w:val="20"/>
        </w:rPr>
        <w:t xml:space="preserve">第1节  </w:t>
      </w:r>
      <w:r>
        <w:rPr>
          <w:rFonts w:hint="eastAsia" w:eastAsia="楷体"/>
          <w:b w:val="0"/>
          <w:bCs w:val="0"/>
          <w:snapToGrid w:val="0"/>
          <w:kern w:val="0"/>
          <w:sz w:val="28"/>
          <w:szCs w:val="20"/>
        </w:rPr>
        <w:t>一般规定</w:t>
      </w:r>
      <w:bookmarkEnd w:id="73"/>
    </w:p>
    <w:p>
      <w:pPr>
        <w:adjustRightInd w:val="0"/>
        <w:snapToGrid w:val="0"/>
        <w:ind w:firstLine="420" w:firstLineChars="200"/>
      </w:pPr>
      <w:r>
        <w:rPr>
          <w:rFonts w:hint="eastAsia"/>
        </w:rPr>
        <w:t>5.1.1</w:t>
      </w:r>
      <w:r>
        <w:t xml:space="preserve">  </w:t>
      </w:r>
      <w:r>
        <w:rPr>
          <w:rFonts w:hint="eastAsia"/>
        </w:rPr>
        <w:t>本章</w:t>
      </w:r>
      <w:r>
        <w:t>规定了船长小于</w:t>
      </w:r>
      <w:r>
        <w:rPr>
          <w:rFonts w:hint="eastAsia"/>
        </w:rPr>
        <w:t>12m聚乙烯</w:t>
      </w:r>
      <w:r>
        <w:t>渔船</w:t>
      </w:r>
      <w:r>
        <w:rPr>
          <w:rFonts w:hint="eastAsia"/>
        </w:rPr>
        <w:t>机械设备和</w:t>
      </w:r>
      <w:r>
        <w:t>电气设备的技术要求</w:t>
      </w:r>
      <w:r>
        <w:rPr>
          <w:rFonts w:hint="eastAsia"/>
        </w:rPr>
        <w:t>。</w:t>
      </w:r>
    </w:p>
    <w:p>
      <w:pPr>
        <w:adjustRightInd w:val="0"/>
        <w:snapToGrid w:val="0"/>
        <w:ind w:firstLine="420" w:firstLineChars="200"/>
      </w:pPr>
      <w:r>
        <w:rPr>
          <w:rFonts w:hint="eastAsia"/>
        </w:rPr>
        <w:t>5.1.</w:t>
      </w:r>
      <w:r>
        <w:t>2  船长</w:t>
      </w:r>
      <w:r>
        <w:rPr>
          <w:rFonts w:hint="eastAsia"/>
        </w:rPr>
        <w:t>大于</w:t>
      </w:r>
      <w:r>
        <w:t>或等于</w:t>
      </w:r>
      <w:r>
        <w:rPr>
          <w:rFonts w:hint="eastAsia"/>
        </w:rPr>
        <w:t>12m聚乙烯</w:t>
      </w:r>
      <w:r>
        <w:t>渔船的</w:t>
      </w:r>
      <w:r>
        <w:rPr>
          <w:rFonts w:hint="eastAsia"/>
        </w:rPr>
        <w:t>机械设备和</w:t>
      </w:r>
      <w:r>
        <w:t>电气设备的技术要求</w:t>
      </w:r>
      <w:r>
        <w:rPr>
          <w:rFonts w:hint="eastAsia"/>
        </w:rPr>
        <w:t>应满足《国内海洋渔船法定检验技术规则（2019）</w:t>
      </w:r>
      <w:r>
        <w:t>》</w:t>
      </w:r>
      <w:r>
        <w:rPr>
          <w:rFonts w:hint="eastAsia"/>
        </w:rPr>
        <w:t>或</w:t>
      </w:r>
      <w:r>
        <w:rPr>
          <w:rFonts w:hint="eastAsia"/>
          <w:szCs w:val="21"/>
        </w:rPr>
        <w:t>《内河渔船法定检验技术规则（2019）</w:t>
      </w:r>
      <w:r>
        <w:rPr>
          <w:szCs w:val="21"/>
        </w:rPr>
        <w:t>》</w:t>
      </w:r>
      <w:r>
        <w:rPr>
          <w:rFonts w:hint="eastAsia"/>
        </w:rPr>
        <w:t>相应篇章的</w:t>
      </w:r>
      <w:r>
        <w:t>规定。</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74" w:name="_Toc70411353"/>
      <w:r>
        <w:rPr>
          <w:rFonts w:eastAsia="楷体"/>
          <w:b w:val="0"/>
          <w:bCs w:val="0"/>
          <w:snapToGrid w:val="0"/>
          <w:kern w:val="0"/>
          <w:sz w:val="28"/>
          <w:szCs w:val="20"/>
        </w:rPr>
        <w:t>第2节  座机船的机械设备</w:t>
      </w:r>
      <w:bookmarkEnd w:id="74"/>
    </w:p>
    <w:p>
      <w:pPr>
        <w:adjustRightInd w:val="0"/>
        <w:snapToGrid w:val="0"/>
        <w:ind w:firstLine="422" w:firstLineChars="200"/>
        <w:rPr>
          <w:rFonts w:eastAsiaTheme="minorEastAsia"/>
          <w:b/>
          <w:szCs w:val="21"/>
        </w:rPr>
      </w:pPr>
      <w:r>
        <w:rPr>
          <w:rFonts w:eastAsiaTheme="minorEastAsia"/>
          <w:b/>
          <w:szCs w:val="21"/>
        </w:rPr>
        <w:t>5.2.1  一般要求</w:t>
      </w:r>
    </w:p>
    <w:p>
      <w:pPr>
        <w:adjustRightInd w:val="0"/>
        <w:snapToGrid w:val="0"/>
        <w:ind w:firstLine="420" w:firstLineChars="200"/>
        <w:rPr>
          <w:rFonts w:eastAsiaTheme="minorEastAsia"/>
          <w:szCs w:val="21"/>
        </w:rPr>
      </w:pPr>
      <w:r>
        <w:rPr>
          <w:rFonts w:eastAsiaTheme="minorEastAsia"/>
          <w:szCs w:val="21"/>
        </w:rPr>
        <w:t>5.2.1.1  船舶的主推进装置和辅助机械装置、泵和管系的设计、制造、安装和试验均应符合本节有关规定。</w:t>
      </w:r>
    </w:p>
    <w:p>
      <w:pPr>
        <w:adjustRightInd w:val="0"/>
        <w:snapToGrid w:val="0"/>
        <w:ind w:firstLine="420" w:firstLineChars="200"/>
        <w:rPr>
          <w:rFonts w:eastAsiaTheme="minorEastAsia"/>
          <w:szCs w:val="21"/>
        </w:rPr>
      </w:pPr>
      <w:r>
        <w:rPr>
          <w:rFonts w:eastAsiaTheme="minorEastAsia"/>
          <w:szCs w:val="21"/>
        </w:rPr>
        <w:t>5.2.1.2所有渔船不应使用以汽油为燃料的座舱机。</w:t>
      </w:r>
    </w:p>
    <w:p>
      <w:pPr>
        <w:autoSpaceDE w:val="0"/>
        <w:autoSpaceDN w:val="0"/>
        <w:adjustRightInd w:val="0"/>
        <w:jc w:val="left"/>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5.2.2  倾斜</w:t>
      </w:r>
    </w:p>
    <w:p>
      <w:pPr>
        <w:adjustRightInd w:val="0"/>
        <w:snapToGrid w:val="0"/>
        <w:ind w:firstLine="420" w:firstLineChars="200"/>
        <w:rPr>
          <w:rFonts w:eastAsiaTheme="minorEastAsia"/>
          <w:szCs w:val="21"/>
        </w:rPr>
      </w:pPr>
      <w:r>
        <w:rPr>
          <w:rFonts w:eastAsiaTheme="minorEastAsia"/>
          <w:szCs w:val="21"/>
        </w:rPr>
        <w:t>5.2.2.1  主、辅机和轴系传动装置以及与船舶安全有关的机械设备，应能保证船舶处于下列倾斜情况时仍能正常工作：</w:t>
      </w:r>
    </w:p>
    <w:p>
      <w:pPr>
        <w:adjustRightInd w:val="0"/>
        <w:snapToGrid w:val="0"/>
        <w:ind w:firstLine="420" w:firstLineChars="200"/>
        <w:rPr>
          <w:rFonts w:eastAsiaTheme="minorEastAsia"/>
          <w:szCs w:val="21"/>
        </w:rPr>
      </w:pPr>
      <w:r>
        <w:rPr>
          <w:rFonts w:eastAsiaTheme="minorEastAsia"/>
          <w:szCs w:val="21"/>
        </w:rPr>
        <w:t>（1）静态横倾：不大于15°；和</w:t>
      </w:r>
    </w:p>
    <w:p>
      <w:pPr>
        <w:adjustRightInd w:val="0"/>
        <w:snapToGrid w:val="0"/>
        <w:ind w:firstLine="420" w:firstLineChars="200"/>
        <w:rPr>
          <w:rFonts w:eastAsiaTheme="minorEastAsia"/>
          <w:szCs w:val="21"/>
        </w:rPr>
      </w:pPr>
      <w:r>
        <w:rPr>
          <w:rFonts w:eastAsiaTheme="minorEastAsia"/>
          <w:szCs w:val="21"/>
        </w:rPr>
        <w:t>（2）静态纵倾：不大于7.5°</w:t>
      </w:r>
      <w:r>
        <w:rPr>
          <w:rFonts w:hint="eastAsia" w:eastAsiaTheme="minorEastAsia"/>
          <w:szCs w:val="21"/>
        </w:rPr>
        <w:t>。</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5.2.3  后退措施</w:t>
      </w:r>
    </w:p>
    <w:p>
      <w:pPr>
        <w:adjustRightInd w:val="0"/>
        <w:snapToGrid w:val="0"/>
        <w:ind w:firstLine="420" w:firstLineChars="200"/>
        <w:rPr>
          <w:rFonts w:eastAsiaTheme="minorEastAsia"/>
          <w:szCs w:val="21"/>
        </w:rPr>
      </w:pPr>
      <w:r>
        <w:rPr>
          <w:rFonts w:eastAsiaTheme="minorEastAsia"/>
          <w:szCs w:val="21"/>
        </w:rPr>
        <w:t>5.2.3.1  主推进装置应具有足够的后退能力，以确保在所有正常情况下都能可靠地控制船舶。</w:t>
      </w:r>
    </w:p>
    <w:p>
      <w:pPr>
        <w:autoSpaceDE w:val="0"/>
        <w:autoSpaceDN w:val="0"/>
        <w:adjustRightInd w:val="0"/>
        <w:jc w:val="left"/>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5.2.4  通信联络</w:t>
      </w:r>
    </w:p>
    <w:p>
      <w:pPr>
        <w:adjustRightInd w:val="0"/>
        <w:snapToGrid w:val="0"/>
        <w:ind w:firstLine="420" w:firstLineChars="200"/>
        <w:rPr>
          <w:rFonts w:eastAsiaTheme="minorEastAsia"/>
          <w:szCs w:val="21"/>
        </w:rPr>
      </w:pPr>
      <w:r>
        <w:rPr>
          <w:rFonts w:eastAsiaTheme="minorEastAsia"/>
          <w:szCs w:val="21"/>
        </w:rPr>
        <w:t>5.2.4.1  驾驶室与机舱应能保持正常的通信联络。</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5.2.5  出入口、通道</w:t>
      </w:r>
    </w:p>
    <w:p>
      <w:pPr>
        <w:adjustRightInd w:val="0"/>
        <w:snapToGrid w:val="0"/>
        <w:ind w:firstLine="420" w:firstLineChars="200"/>
        <w:rPr>
          <w:rFonts w:eastAsiaTheme="minorEastAsia"/>
          <w:szCs w:val="21"/>
        </w:rPr>
      </w:pPr>
      <w:r>
        <w:rPr>
          <w:rFonts w:eastAsiaTheme="minorEastAsia"/>
          <w:szCs w:val="21"/>
        </w:rPr>
        <w:t>5.2.5.1  机舱应至少设有一个出入口，出入口应能通向干舷甲板。</w:t>
      </w:r>
    </w:p>
    <w:p>
      <w:pPr>
        <w:adjustRightInd w:val="0"/>
        <w:snapToGrid w:val="0"/>
        <w:ind w:firstLine="420" w:firstLineChars="200"/>
        <w:rPr>
          <w:rFonts w:eastAsiaTheme="minorEastAsia"/>
          <w:szCs w:val="21"/>
        </w:rPr>
      </w:pPr>
      <w:r>
        <w:rPr>
          <w:rFonts w:eastAsiaTheme="minorEastAsia"/>
          <w:szCs w:val="21"/>
        </w:rPr>
        <w:t>5.2.5.2  机舱内应设有便于操纵、维护和检修各种机械设备的通道。</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5.2.6  通风、采光及照明</w:t>
      </w:r>
    </w:p>
    <w:p>
      <w:pPr>
        <w:adjustRightInd w:val="0"/>
        <w:snapToGrid w:val="0"/>
        <w:ind w:firstLine="420" w:firstLineChars="200"/>
        <w:rPr>
          <w:rFonts w:eastAsiaTheme="minorEastAsia"/>
          <w:szCs w:val="21"/>
        </w:rPr>
      </w:pPr>
      <w:r>
        <w:rPr>
          <w:rFonts w:eastAsiaTheme="minorEastAsia"/>
          <w:szCs w:val="21"/>
        </w:rPr>
        <w:t>5.2.6.1  机舱内应能保持良好的通风、采光条件，并有足够的照明装置。</w:t>
      </w:r>
    </w:p>
    <w:p>
      <w:pPr>
        <w:adjustRightInd w:val="0"/>
        <w:snapToGrid w:val="0"/>
        <w:ind w:firstLine="422" w:firstLineChars="200"/>
        <w:rPr>
          <w:rFonts w:eastAsiaTheme="minorEastAsia"/>
          <w:b/>
          <w:szCs w:val="21"/>
        </w:rPr>
      </w:pPr>
    </w:p>
    <w:p>
      <w:pPr>
        <w:adjustRightInd w:val="0"/>
        <w:snapToGrid w:val="0"/>
        <w:ind w:firstLine="422" w:firstLineChars="200"/>
        <w:rPr>
          <w:rFonts w:eastAsiaTheme="minorEastAsia"/>
          <w:b/>
          <w:szCs w:val="21"/>
        </w:rPr>
      </w:pPr>
      <w:r>
        <w:rPr>
          <w:rFonts w:eastAsiaTheme="minorEastAsia"/>
          <w:b/>
          <w:szCs w:val="21"/>
        </w:rPr>
        <w:t>5.2.7  密封</w:t>
      </w:r>
    </w:p>
    <w:p>
      <w:pPr>
        <w:adjustRightInd w:val="0"/>
        <w:snapToGrid w:val="0"/>
        <w:ind w:firstLine="420" w:firstLineChars="200"/>
        <w:rPr>
          <w:rFonts w:eastAsiaTheme="minorEastAsia"/>
          <w:szCs w:val="21"/>
        </w:rPr>
      </w:pPr>
      <w:r>
        <w:rPr>
          <w:rFonts w:eastAsiaTheme="minorEastAsia"/>
          <w:szCs w:val="21"/>
        </w:rPr>
        <w:t>5.2.7.1  各种管路、传动杆通过水密舱壁时，应保证水密。</w:t>
      </w:r>
    </w:p>
    <w:p>
      <w:pPr>
        <w:adjustRightInd w:val="0"/>
        <w:snapToGrid w:val="0"/>
        <w:ind w:firstLine="420" w:firstLineChars="200"/>
        <w:rPr>
          <w:rFonts w:eastAsiaTheme="minorEastAsia"/>
          <w:szCs w:val="21"/>
        </w:rPr>
      </w:pPr>
      <w:r>
        <w:rPr>
          <w:rFonts w:eastAsiaTheme="minorEastAsia"/>
          <w:szCs w:val="21"/>
        </w:rPr>
        <w:t>5.2.7.2  轴系通过水密舱壁处应设有填料函，其设置应便于检查和维修。</w:t>
      </w:r>
    </w:p>
    <w:p>
      <w:pPr>
        <w:adjustRightInd w:val="0"/>
        <w:snapToGrid w:val="0"/>
        <w:ind w:firstLine="420" w:firstLineChars="200"/>
        <w:rPr>
          <w:rFonts w:eastAsiaTheme="minorEastAsia"/>
          <w:szCs w:val="21"/>
        </w:rPr>
      </w:pPr>
      <w:r>
        <w:rPr>
          <w:rFonts w:eastAsiaTheme="minorEastAsia"/>
          <w:szCs w:val="21"/>
        </w:rPr>
        <w:t>5.2.7.3  艉管在安装后应做密性试验。</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5.2.8  防护设施</w:t>
      </w:r>
    </w:p>
    <w:p>
      <w:pPr>
        <w:adjustRightInd w:val="0"/>
        <w:snapToGrid w:val="0"/>
        <w:ind w:firstLine="420" w:firstLineChars="200"/>
        <w:rPr>
          <w:rFonts w:eastAsiaTheme="minorEastAsia"/>
          <w:szCs w:val="21"/>
        </w:rPr>
      </w:pPr>
      <w:r>
        <w:rPr>
          <w:rFonts w:eastAsiaTheme="minorEastAsia"/>
          <w:szCs w:val="21"/>
        </w:rPr>
        <w:t>5.2.8.1  机械运转时，可能对船上人员构成危险的部位，应有防护罩等安全设施。</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5.2.9  管系</w:t>
      </w:r>
    </w:p>
    <w:p>
      <w:pPr>
        <w:adjustRightInd w:val="0"/>
        <w:snapToGrid w:val="0"/>
        <w:ind w:firstLine="420" w:firstLineChars="200"/>
        <w:rPr>
          <w:rFonts w:eastAsiaTheme="minorEastAsia"/>
          <w:szCs w:val="21"/>
        </w:rPr>
      </w:pPr>
      <w:r>
        <w:rPr>
          <w:rFonts w:eastAsiaTheme="minorEastAsia"/>
          <w:szCs w:val="21"/>
        </w:rPr>
        <w:t>5.2.9.1  除本节另有说明外，管子、阀件和附件应使用钢、铸铁、铜、铜合金或其他适合于其用途的材料来制造，并符合预定的强度要求。</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5.2.10  燃油箱柜</w:t>
      </w:r>
    </w:p>
    <w:p>
      <w:pPr>
        <w:adjustRightInd w:val="0"/>
        <w:snapToGrid w:val="0"/>
        <w:ind w:firstLine="420" w:firstLineChars="200"/>
        <w:rPr>
          <w:rFonts w:eastAsiaTheme="minorEastAsia"/>
          <w:szCs w:val="21"/>
        </w:rPr>
      </w:pPr>
      <w:r>
        <w:rPr>
          <w:rFonts w:eastAsiaTheme="minorEastAsia"/>
          <w:szCs w:val="21"/>
        </w:rPr>
        <w:t>5.2.10.1  燃油箱柜的结构、布置等应符合下列规定：</w:t>
      </w:r>
    </w:p>
    <w:p>
      <w:pPr>
        <w:adjustRightInd w:val="0"/>
        <w:snapToGrid w:val="0"/>
        <w:ind w:firstLine="420" w:firstLineChars="200"/>
        <w:rPr>
          <w:rFonts w:eastAsiaTheme="minorEastAsia"/>
          <w:szCs w:val="21"/>
        </w:rPr>
      </w:pPr>
      <w:r>
        <w:rPr>
          <w:rFonts w:eastAsiaTheme="minorEastAsia"/>
          <w:szCs w:val="21"/>
        </w:rPr>
        <w:t>（1）燃油箱柜的布置应避免船舶碰撞而造成溢油，其处所应能保证有效通风。</w:t>
      </w:r>
    </w:p>
    <w:p>
      <w:pPr>
        <w:adjustRightInd w:val="0"/>
        <w:snapToGrid w:val="0"/>
        <w:ind w:firstLine="420" w:firstLineChars="200"/>
        <w:rPr>
          <w:rFonts w:eastAsiaTheme="minorEastAsia"/>
          <w:szCs w:val="21"/>
        </w:rPr>
      </w:pPr>
      <w:r>
        <w:rPr>
          <w:rFonts w:eastAsiaTheme="minorEastAsia"/>
          <w:szCs w:val="21"/>
        </w:rPr>
        <w:t>（2）燃油箱柜安装前应进行水压试验，试验压头应至箱柜顶最高点以上不小于2.4m。</w:t>
      </w:r>
    </w:p>
    <w:p>
      <w:pPr>
        <w:adjustRightInd w:val="0"/>
        <w:snapToGrid w:val="0"/>
        <w:ind w:firstLine="420" w:firstLineChars="200"/>
        <w:rPr>
          <w:rFonts w:eastAsiaTheme="minorEastAsia"/>
          <w:szCs w:val="21"/>
        </w:rPr>
      </w:pPr>
      <w:r>
        <w:rPr>
          <w:rFonts w:eastAsiaTheme="minorEastAsia"/>
          <w:szCs w:val="21"/>
        </w:rPr>
        <w:t>（3）燃油箱柜和燃油管法兰接头不应位于发动机、排气管、电气设备的正上方，且其横向间距应不小于450mm。燃油箱柜下面应设滴油盘。</w:t>
      </w:r>
    </w:p>
    <w:p>
      <w:pPr>
        <w:adjustRightInd w:val="0"/>
        <w:snapToGrid w:val="0"/>
        <w:ind w:firstLine="420" w:firstLineChars="200"/>
        <w:rPr>
          <w:rFonts w:eastAsiaTheme="minorEastAsia"/>
          <w:szCs w:val="21"/>
        </w:rPr>
      </w:pPr>
      <w:r>
        <w:rPr>
          <w:rFonts w:eastAsiaTheme="minorEastAsia"/>
          <w:szCs w:val="21"/>
        </w:rPr>
        <w:t>（4）柴油机燃油箱柜上应装有泄放装置、液位计、空气管。空气管内径应不小于注入管内径。如采用玻璃管液位计，应为自闭式，且应设有防护罩。液位计禁止使用塑料管。</w:t>
      </w:r>
    </w:p>
    <w:p>
      <w:pPr>
        <w:adjustRightInd w:val="0"/>
        <w:snapToGrid w:val="0"/>
        <w:ind w:firstLine="420" w:firstLineChars="200"/>
        <w:rPr>
          <w:rFonts w:eastAsiaTheme="minorEastAsia"/>
          <w:szCs w:val="21"/>
        </w:rPr>
      </w:pPr>
      <w:r>
        <w:rPr>
          <w:rFonts w:eastAsiaTheme="minorEastAsia"/>
          <w:szCs w:val="21"/>
        </w:rPr>
        <w:t>（5）盛装汽油的燃油箱柜，应以耐酸钢、铝或其他等效材料制造，并保证足够的强度。油箱容量应不大于30L，且仅允许设一个汽油油箱。油箱应以0.04Mpa的压力进行压力试验，并无任何泄露。</w:t>
      </w:r>
    </w:p>
    <w:p>
      <w:pPr>
        <w:autoSpaceDE w:val="0"/>
        <w:autoSpaceDN w:val="0"/>
        <w:adjustRightInd w:val="0"/>
        <w:jc w:val="left"/>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5.2.11  燃油管路</w:t>
      </w:r>
    </w:p>
    <w:p>
      <w:pPr>
        <w:adjustRightInd w:val="0"/>
        <w:snapToGrid w:val="0"/>
        <w:ind w:firstLine="420" w:firstLineChars="200"/>
        <w:rPr>
          <w:rFonts w:eastAsiaTheme="minorEastAsia"/>
          <w:szCs w:val="21"/>
        </w:rPr>
      </w:pPr>
      <w:r>
        <w:rPr>
          <w:rFonts w:eastAsiaTheme="minorEastAsia"/>
          <w:szCs w:val="21"/>
        </w:rPr>
        <w:t>5.2.11.1  燃油管路应采用无缝钢管、无缝退火铜管、铜镍合金管或等效性能的金属管</w:t>
      </w:r>
    </w:p>
    <w:p>
      <w:pPr>
        <w:autoSpaceDE w:val="0"/>
        <w:autoSpaceDN w:val="0"/>
        <w:adjustRightInd w:val="0"/>
        <w:jc w:val="left"/>
        <w:rPr>
          <w:rFonts w:eastAsiaTheme="minorEastAsia"/>
          <w:szCs w:val="21"/>
        </w:rPr>
      </w:pPr>
      <w:r>
        <w:rPr>
          <w:rFonts w:eastAsiaTheme="minorEastAsia"/>
          <w:szCs w:val="21"/>
        </w:rPr>
        <w:t>制成。</w:t>
      </w:r>
    </w:p>
    <w:p>
      <w:pPr>
        <w:adjustRightInd w:val="0"/>
        <w:snapToGrid w:val="0"/>
        <w:ind w:firstLine="420" w:firstLineChars="200"/>
        <w:rPr>
          <w:rFonts w:eastAsiaTheme="minorEastAsia"/>
          <w:szCs w:val="21"/>
        </w:rPr>
      </w:pPr>
      <w:r>
        <w:rPr>
          <w:rFonts w:eastAsiaTheme="minorEastAsia"/>
          <w:szCs w:val="21"/>
        </w:rPr>
        <w:t>5.2.11.2  燃油管路采用软管时，应采用有保护的耐火燃油软管。</w:t>
      </w:r>
    </w:p>
    <w:p>
      <w:pPr>
        <w:adjustRightInd w:val="0"/>
        <w:snapToGrid w:val="0"/>
        <w:ind w:firstLine="420" w:firstLineChars="200"/>
        <w:rPr>
          <w:rFonts w:eastAsiaTheme="minorEastAsia"/>
          <w:szCs w:val="21"/>
        </w:rPr>
      </w:pPr>
      <w:r>
        <w:rPr>
          <w:rFonts w:eastAsiaTheme="minorEastAsia"/>
          <w:szCs w:val="21"/>
        </w:rPr>
        <w:t>5.2.11.3  燃油管路应按照规定进行压力试验。</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5.2.12  排气管路</w:t>
      </w:r>
    </w:p>
    <w:p>
      <w:pPr>
        <w:adjustRightInd w:val="0"/>
        <w:snapToGrid w:val="0"/>
        <w:ind w:firstLine="420" w:firstLineChars="200"/>
        <w:rPr>
          <w:rFonts w:eastAsiaTheme="minorEastAsia"/>
          <w:szCs w:val="21"/>
        </w:rPr>
      </w:pPr>
      <w:r>
        <w:rPr>
          <w:rFonts w:eastAsiaTheme="minorEastAsia"/>
          <w:szCs w:val="21"/>
        </w:rPr>
        <w:t>5.2.12.1  主机排气管路应采取有效防护的方式，防止高温表面伤人。具有冷却水夹层的排气管应加厚。排气管应采用适当的绝热材料进行包裹，绝热层表面温度应不超过60℃。</w:t>
      </w:r>
    </w:p>
    <w:p>
      <w:pPr>
        <w:adjustRightInd w:val="0"/>
        <w:snapToGrid w:val="0"/>
        <w:ind w:firstLine="420" w:firstLineChars="200"/>
        <w:rPr>
          <w:rFonts w:eastAsiaTheme="minorEastAsia"/>
          <w:szCs w:val="21"/>
        </w:rPr>
      </w:pPr>
      <w:r>
        <w:rPr>
          <w:rFonts w:eastAsiaTheme="minorEastAsia"/>
          <w:szCs w:val="21"/>
        </w:rPr>
        <w:t>5.2.12.2  排气管路一般应向上导出，若需经船侧或船尾导出时，应防止海水倒灌。</w:t>
      </w:r>
    </w:p>
    <w:p>
      <w:pPr>
        <w:adjustRightInd w:val="0"/>
        <w:snapToGrid w:val="0"/>
        <w:ind w:firstLine="420" w:firstLineChars="200"/>
        <w:rPr>
          <w:rFonts w:eastAsiaTheme="minorEastAsia"/>
          <w:szCs w:val="21"/>
        </w:rPr>
      </w:pPr>
      <w:r>
        <w:rPr>
          <w:rFonts w:eastAsiaTheme="minorEastAsia"/>
          <w:szCs w:val="21"/>
        </w:rPr>
        <w:t>5.2.12.3  排气管与船体的连接应保证水密。</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5.2.13  冷却水管路</w:t>
      </w:r>
    </w:p>
    <w:p>
      <w:pPr>
        <w:adjustRightInd w:val="0"/>
        <w:snapToGrid w:val="0"/>
        <w:ind w:firstLine="420" w:firstLineChars="200"/>
        <w:rPr>
          <w:rFonts w:eastAsiaTheme="minorEastAsia"/>
          <w:szCs w:val="21"/>
        </w:rPr>
      </w:pPr>
      <w:r>
        <w:rPr>
          <w:rFonts w:eastAsiaTheme="minorEastAsia"/>
          <w:szCs w:val="21"/>
        </w:rPr>
        <w:t>5.2.13.1  一般应设２只海水吸口，其位置应保证在航行状态下冷却水泵可通过海底阀吸入海水。</w:t>
      </w:r>
    </w:p>
    <w:p>
      <w:pPr>
        <w:adjustRightInd w:val="0"/>
        <w:snapToGrid w:val="0"/>
        <w:ind w:firstLine="420" w:firstLineChars="200"/>
        <w:rPr>
          <w:rFonts w:eastAsiaTheme="minorEastAsia"/>
          <w:szCs w:val="21"/>
        </w:rPr>
      </w:pPr>
      <w:r>
        <w:rPr>
          <w:rFonts w:eastAsiaTheme="minorEastAsia"/>
          <w:szCs w:val="21"/>
        </w:rPr>
        <w:t>5.2.13.2  海水箱应装有格栅，其有效通流面积应不小于海底阀流通面积的3倍。</w:t>
      </w:r>
    </w:p>
    <w:p>
      <w:pPr>
        <w:adjustRightInd w:val="0"/>
        <w:snapToGrid w:val="0"/>
        <w:ind w:firstLine="420" w:firstLineChars="200"/>
        <w:rPr>
          <w:rFonts w:eastAsiaTheme="minorEastAsia"/>
          <w:szCs w:val="21"/>
        </w:rPr>
      </w:pPr>
      <w:r>
        <w:rPr>
          <w:rFonts w:eastAsiaTheme="minorEastAsia"/>
          <w:szCs w:val="21"/>
        </w:rPr>
        <w:t>5.2.13.3  排水孔的位置一般不应超过设计吃水，否则应设置止回阀装置或防浪阀。</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5.2.14  舱底水设施</w:t>
      </w:r>
    </w:p>
    <w:p>
      <w:pPr>
        <w:adjustRightInd w:val="0"/>
        <w:snapToGrid w:val="0"/>
        <w:ind w:firstLine="420" w:firstLineChars="200"/>
        <w:rPr>
          <w:rFonts w:eastAsiaTheme="minorEastAsia"/>
          <w:szCs w:val="21"/>
        </w:rPr>
      </w:pPr>
      <w:r>
        <w:rPr>
          <w:rFonts w:eastAsiaTheme="minorEastAsia"/>
          <w:szCs w:val="21"/>
        </w:rPr>
        <w:t>5.2.14.1  机舱内应至少设置１台动力或手动舱底泵。</w:t>
      </w:r>
    </w:p>
    <w:p>
      <w:pPr>
        <w:adjustRightInd w:val="0"/>
        <w:snapToGrid w:val="0"/>
        <w:ind w:firstLine="420" w:firstLineChars="200"/>
        <w:rPr>
          <w:rFonts w:eastAsiaTheme="minorEastAsia"/>
          <w:szCs w:val="21"/>
        </w:rPr>
      </w:pPr>
      <w:r>
        <w:rPr>
          <w:rFonts w:eastAsiaTheme="minorEastAsia"/>
          <w:szCs w:val="21"/>
        </w:rPr>
        <w:t>5.2.14.2  非水密舱室的舱底水应能及时排出。</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5.2.15  发动机</w:t>
      </w:r>
    </w:p>
    <w:p>
      <w:pPr>
        <w:adjustRightInd w:val="0"/>
        <w:snapToGrid w:val="0"/>
        <w:ind w:firstLine="420" w:firstLineChars="200"/>
        <w:rPr>
          <w:rFonts w:eastAsiaTheme="minorEastAsia"/>
          <w:szCs w:val="21"/>
        </w:rPr>
      </w:pPr>
      <w:r>
        <w:rPr>
          <w:rFonts w:eastAsiaTheme="minorEastAsia"/>
          <w:szCs w:val="21"/>
        </w:rPr>
        <w:t>5.2.15.1  船用主机或其他发动机应经船舶检验机构产品检验认可方可装船使用。</w:t>
      </w:r>
    </w:p>
    <w:p>
      <w:pPr>
        <w:adjustRightInd w:val="0"/>
        <w:snapToGrid w:val="0"/>
        <w:ind w:firstLine="420" w:firstLineChars="200"/>
        <w:rPr>
          <w:rFonts w:eastAsiaTheme="minorEastAsia"/>
          <w:szCs w:val="21"/>
        </w:rPr>
      </w:pPr>
      <w:r>
        <w:rPr>
          <w:rFonts w:eastAsiaTheme="minorEastAsia"/>
          <w:szCs w:val="21"/>
        </w:rPr>
        <w:t>5.2.15.2  发动机应设有监控转速、温度、压力及其他运行参数的装置。</w:t>
      </w:r>
    </w:p>
    <w:p>
      <w:pPr>
        <w:adjustRightInd w:val="0"/>
        <w:snapToGrid w:val="0"/>
        <w:ind w:firstLine="420" w:firstLineChars="200"/>
        <w:rPr>
          <w:rFonts w:eastAsiaTheme="minorEastAsia"/>
          <w:szCs w:val="21"/>
        </w:rPr>
      </w:pPr>
      <w:r>
        <w:rPr>
          <w:rFonts w:eastAsiaTheme="minorEastAsia"/>
          <w:szCs w:val="21"/>
        </w:rPr>
        <w:t>5.2.15.3  发动机设计应使其发生火灾或爆炸的危险降至最低。当发动机存在超速的危险时，应有措施保证其不超过安全转速。</w:t>
      </w:r>
    </w:p>
    <w:p>
      <w:pPr>
        <w:adjustRightInd w:val="0"/>
        <w:snapToGrid w:val="0"/>
        <w:ind w:firstLine="420" w:firstLineChars="200"/>
        <w:rPr>
          <w:rFonts w:eastAsiaTheme="minorEastAsia"/>
          <w:szCs w:val="21"/>
        </w:rPr>
      </w:pPr>
      <w:r>
        <w:rPr>
          <w:rFonts w:eastAsiaTheme="minorEastAsia"/>
          <w:szCs w:val="21"/>
        </w:rPr>
        <w:t>5.2.15.4  座机船舶的主机及发电机组所用的燃油，其闪点（闭杯试验）一般应不低于60</w:t>
      </w:r>
      <w:r>
        <w:rPr>
          <w:rFonts w:hint="eastAsia" w:ascii="宋体" w:hAnsi="宋体" w:cs="宋体"/>
          <w:szCs w:val="21"/>
          <w:lang w:eastAsia="ja-JP"/>
        </w:rPr>
        <w:t>℃</w:t>
      </w:r>
      <w:r>
        <w:rPr>
          <w:rFonts w:eastAsiaTheme="minorEastAsia"/>
          <w:szCs w:val="21"/>
        </w:rPr>
        <w:t>。</w:t>
      </w:r>
    </w:p>
    <w:p>
      <w:pPr>
        <w:autoSpaceDE w:val="0"/>
        <w:autoSpaceDN w:val="0"/>
        <w:adjustRightInd w:val="0"/>
        <w:jc w:val="left"/>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5.1.16  发动机安装</w:t>
      </w:r>
    </w:p>
    <w:p>
      <w:pPr>
        <w:adjustRightInd w:val="0"/>
        <w:snapToGrid w:val="0"/>
        <w:ind w:firstLine="420" w:firstLineChars="200"/>
        <w:rPr>
          <w:rFonts w:eastAsiaTheme="minorEastAsia"/>
          <w:szCs w:val="21"/>
        </w:rPr>
      </w:pPr>
      <w:r>
        <w:rPr>
          <w:rFonts w:eastAsiaTheme="minorEastAsia"/>
          <w:szCs w:val="21"/>
        </w:rPr>
        <w:t>5.1.16.1  主机和齿轮箱应尽可能采用公共基座。</w:t>
      </w:r>
    </w:p>
    <w:p>
      <w:pPr>
        <w:adjustRightInd w:val="0"/>
        <w:snapToGrid w:val="0"/>
        <w:ind w:firstLine="420" w:firstLineChars="200"/>
        <w:rPr>
          <w:rFonts w:eastAsiaTheme="minorEastAsia"/>
          <w:szCs w:val="21"/>
        </w:rPr>
      </w:pPr>
      <w:r>
        <w:rPr>
          <w:rFonts w:eastAsiaTheme="minorEastAsia"/>
          <w:szCs w:val="21"/>
        </w:rPr>
        <w:t>5.1.16.2  主机和齿轮箱与基座的固定螺栓至少应各设有两只紧配螺栓，或按产品说明书中安装要求安装。</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5.2.17  轴系和螺旋桨</w:t>
      </w:r>
    </w:p>
    <w:p>
      <w:pPr>
        <w:adjustRightInd w:val="0"/>
        <w:snapToGrid w:val="0"/>
        <w:ind w:firstLine="420" w:firstLineChars="200"/>
        <w:rPr>
          <w:rFonts w:eastAsiaTheme="minorEastAsia"/>
          <w:szCs w:val="21"/>
        </w:rPr>
      </w:pPr>
      <w:r>
        <w:rPr>
          <w:rFonts w:eastAsiaTheme="minorEastAsia"/>
          <w:szCs w:val="21"/>
        </w:rPr>
        <w:t>5.2.17.1  轴材料的抗拉强度一般应在下列范围内选择：</w:t>
      </w:r>
    </w:p>
    <w:p>
      <w:pPr>
        <w:adjustRightInd w:val="0"/>
        <w:snapToGrid w:val="0"/>
        <w:ind w:firstLine="420" w:firstLineChars="200"/>
        <w:rPr>
          <w:rFonts w:eastAsiaTheme="minorEastAsia"/>
          <w:szCs w:val="21"/>
        </w:rPr>
      </w:pPr>
      <w:r>
        <w:rPr>
          <w:rFonts w:eastAsiaTheme="minorEastAsia"/>
          <w:szCs w:val="21"/>
        </w:rPr>
        <w:t>（1）碳钢和碳锰钢为410～600N/mm</w:t>
      </w:r>
      <w:r>
        <w:rPr>
          <w:rFonts w:eastAsiaTheme="minorEastAsia"/>
          <w:szCs w:val="21"/>
          <w:vertAlign w:val="superscript"/>
        </w:rPr>
        <w:t>2</w:t>
      </w:r>
      <w:r>
        <w:rPr>
          <w:rFonts w:eastAsiaTheme="minorEastAsia"/>
          <w:szCs w:val="21"/>
        </w:rPr>
        <w:t>；</w:t>
      </w:r>
    </w:p>
    <w:p>
      <w:pPr>
        <w:adjustRightInd w:val="0"/>
        <w:snapToGrid w:val="0"/>
        <w:ind w:firstLine="420" w:firstLineChars="200"/>
        <w:rPr>
          <w:rFonts w:eastAsiaTheme="minorEastAsia"/>
          <w:szCs w:val="21"/>
        </w:rPr>
      </w:pPr>
      <w:r>
        <w:rPr>
          <w:rFonts w:eastAsiaTheme="minorEastAsia"/>
          <w:szCs w:val="21"/>
        </w:rPr>
        <w:t>（2）合金钢不超过800N/mm</w:t>
      </w:r>
      <w:r>
        <w:rPr>
          <w:rFonts w:eastAsiaTheme="minorEastAsia"/>
          <w:szCs w:val="21"/>
          <w:vertAlign w:val="superscript"/>
        </w:rPr>
        <w:t>2</w:t>
      </w:r>
      <w:r>
        <w:rPr>
          <w:rFonts w:eastAsiaTheme="minorEastAsia"/>
          <w:szCs w:val="21"/>
        </w:rPr>
        <w:t>。</w:t>
      </w:r>
    </w:p>
    <w:p>
      <w:pPr>
        <w:adjustRightInd w:val="0"/>
        <w:snapToGrid w:val="0"/>
        <w:ind w:firstLine="420" w:firstLineChars="200"/>
        <w:rPr>
          <w:rFonts w:eastAsiaTheme="minorEastAsia"/>
          <w:szCs w:val="21"/>
        </w:rPr>
      </w:pPr>
      <w:r>
        <w:rPr>
          <w:rFonts w:eastAsiaTheme="minorEastAsia"/>
          <w:szCs w:val="21"/>
        </w:rPr>
        <w:t>5.2.17.2  主推进轴系应能承受足够的倒车功率。</w:t>
      </w:r>
    </w:p>
    <w:p>
      <w:pPr>
        <w:adjustRightInd w:val="0"/>
        <w:snapToGrid w:val="0"/>
        <w:ind w:firstLine="420" w:firstLineChars="200"/>
        <w:rPr>
          <w:rFonts w:eastAsiaTheme="minorEastAsia"/>
          <w:szCs w:val="21"/>
        </w:rPr>
      </w:pPr>
      <w:r>
        <w:rPr>
          <w:rFonts w:eastAsiaTheme="minorEastAsia"/>
          <w:szCs w:val="21"/>
        </w:rPr>
        <w:t>5.2.17.3  主推进装置中，滑动轴承温度应不超过70℃，滚动轴承温度应不超过80℃。</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5.2.18  轴的直径、联轴器和螺栓</w:t>
      </w:r>
    </w:p>
    <w:p>
      <w:pPr>
        <w:adjustRightInd w:val="0"/>
        <w:snapToGrid w:val="0"/>
        <w:ind w:firstLine="420" w:firstLineChars="200"/>
        <w:rPr>
          <w:rFonts w:eastAsiaTheme="minorEastAsia"/>
          <w:szCs w:val="21"/>
        </w:rPr>
      </w:pPr>
      <w:r>
        <w:rPr>
          <w:rFonts w:eastAsiaTheme="minorEastAsia"/>
          <w:szCs w:val="21"/>
        </w:rPr>
        <w:t>5.2.18.1  对于座机船舶，轴的直径的计算应符合下列规定。</w:t>
      </w:r>
    </w:p>
    <w:p>
      <w:pPr>
        <w:adjustRightInd w:val="0"/>
        <w:snapToGrid w:val="0"/>
        <w:ind w:firstLine="420" w:firstLineChars="200"/>
        <w:rPr>
          <w:rFonts w:eastAsiaTheme="minorEastAsia"/>
          <w:szCs w:val="21"/>
        </w:rPr>
      </w:pPr>
      <w:r>
        <w:rPr>
          <w:rFonts w:eastAsiaTheme="minorEastAsia"/>
          <w:szCs w:val="21"/>
        </w:rPr>
        <w:t>（1）轴的直径</w:t>
      </w:r>
      <w:r>
        <w:rPr>
          <w:rFonts w:eastAsiaTheme="minorEastAsia"/>
          <w:i/>
          <w:szCs w:val="21"/>
        </w:rPr>
        <w:t>d</w:t>
      </w:r>
      <w:r>
        <w:rPr>
          <w:rFonts w:eastAsiaTheme="minorEastAsia"/>
          <w:szCs w:val="21"/>
        </w:rPr>
        <w:t>应不小于按下式计算所得的值</w:t>
      </w:r>
      <w:r>
        <w:rPr>
          <w:rFonts w:hint="eastAsia" w:eastAsiaTheme="minorEastAsia"/>
          <w:szCs w:val="21"/>
        </w:rPr>
        <w:t>：</w:t>
      </w:r>
    </w:p>
    <w:p>
      <w:pPr>
        <w:spacing w:line="320" w:lineRule="atLeast"/>
        <w:jc w:val="center"/>
        <w:rPr>
          <w:rFonts w:eastAsiaTheme="minorEastAsia"/>
        </w:rPr>
      </w:pPr>
      <w:r>
        <w:rPr>
          <w:rFonts w:eastAsiaTheme="minorEastAsia"/>
          <w:position w:val="-32"/>
        </w:rPr>
        <w:object>
          <v:shape id="_x0000_i1030" o:spt="75" type="#_x0000_t75" style="height:43.45pt;width:145.35pt;" o:ole="t" filled="f" o:preferrelative="t" stroked="f" coordsize="21600,21600">
            <v:path/>
            <v:fill on="f" focussize="0,0"/>
            <v:stroke on="f" joinstyle="miter"/>
            <v:imagedata r:id="rId22" o:title=""/>
            <o:lock v:ext="edit" aspectratio="t"/>
            <w10:wrap type="none"/>
            <w10:anchorlock/>
          </v:shape>
          <o:OLEObject Type="Embed" ProgID="Equation.3" ShapeID="_x0000_i1030" DrawAspect="Content" ObjectID="_1468075728" r:id="rId21">
            <o:LockedField>false</o:LockedField>
          </o:OLEObject>
        </w:object>
      </w:r>
      <w:r>
        <w:rPr>
          <w:rFonts w:eastAsiaTheme="minorEastAsia"/>
        </w:rPr>
        <w:t xml:space="preserve">      mm</w:t>
      </w:r>
    </w:p>
    <w:p>
      <w:pPr>
        <w:autoSpaceDE w:val="0"/>
        <w:autoSpaceDN w:val="0"/>
        <w:adjustRightInd w:val="0"/>
        <w:jc w:val="center"/>
        <w:rPr>
          <w:rFonts w:eastAsiaTheme="minorEastAsia"/>
          <w:szCs w:val="21"/>
        </w:rPr>
      </w:pPr>
    </w:p>
    <w:p>
      <w:pPr>
        <w:autoSpaceDE w:val="0"/>
        <w:autoSpaceDN w:val="0"/>
        <w:adjustRightInd w:val="0"/>
        <w:ind w:firstLine="420" w:firstLineChars="200"/>
        <w:jc w:val="left"/>
        <w:rPr>
          <w:rFonts w:eastAsiaTheme="minorEastAsia"/>
          <w:szCs w:val="21"/>
        </w:rPr>
      </w:pPr>
      <w:r>
        <w:rPr>
          <w:rFonts w:eastAsiaTheme="minorEastAsia"/>
          <w:szCs w:val="21"/>
        </w:rPr>
        <w:t>式中</w:t>
      </w:r>
      <w:r>
        <w:rPr>
          <w:rFonts w:hint="eastAsia" w:eastAsiaTheme="minorEastAsia"/>
          <w:szCs w:val="21"/>
        </w:rPr>
        <w:t>：</w:t>
      </w:r>
      <w:r>
        <w:rPr>
          <w:rFonts w:eastAsiaTheme="minorEastAsia"/>
          <w:i/>
          <w:szCs w:val="21"/>
        </w:rPr>
        <w:t>Ne</w:t>
      </w:r>
      <w:r>
        <w:rPr>
          <w:rFonts w:eastAsiaTheme="minorEastAsia"/>
          <w:szCs w:val="21"/>
        </w:rPr>
        <w:t>——轴传递的最大持续功率，kW；</w:t>
      </w:r>
    </w:p>
    <w:p>
      <w:pPr>
        <w:adjustRightInd w:val="0"/>
        <w:snapToGrid w:val="0"/>
        <w:ind w:left="630" w:leftChars="300" w:firstLine="420" w:firstLineChars="200"/>
        <w:rPr>
          <w:rFonts w:eastAsiaTheme="minorEastAsia"/>
          <w:szCs w:val="21"/>
        </w:rPr>
      </w:pPr>
      <w:r>
        <w:rPr>
          <w:rFonts w:eastAsiaTheme="minorEastAsia"/>
          <w:i/>
          <w:szCs w:val="21"/>
        </w:rPr>
        <w:t>n</w:t>
      </w:r>
      <w:r>
        <w:rPr>
          <w:rFonts w:eastAsiaTheme="minorEastAsia"/>
          <w:i/>
          <w:szCs w:val="21"/>
          <w:vertAlign w:val="subscript"/>
        </w:rPr>
        <w:t>e</w:t>
      </w:r>
      <w:r>
        <w:rPr>
          <w:rFonts w:eastAsiaTheme="minorEastAsia"/>
          <w:szCs w:val="21"/>
        </w:rPr>
        <w:t>——轴传递</w:t>
      </w:r>
      <w:r>
        <w:rPr>
          <w:rFonts w:eastAsiaTheme="minorEastAsia"/>
          <w:i/>
          <w:szCs w:val="21"/>
        </w:rPr>
        <w:t>Ne</w:t>
      </w:r>
      <w:r>
        <w:rPr>
          <w:rFonts w:eastAsiaTheme="minorEastAsia"/>
          <w:szCs w:val="21"/>
        </w:rPr>
        <w:t>时的转速，r/min；</w:t>
      </w:r>
    </w:p>
    <w:p>
      <w:pPr>
        <w:adjustRightInd w:val="0"/>
        <w:snapToGrid w:val="0"/>
        <w:ind w:left="630" w:leftChars="300" w:firstLine="420" w:firstLineChars="200"/>
        <w:rPr>
          <w:rFonts w:eastAsiaTheme="minorEastAsia"/>
          <w:szCs w:val="21"/>
        </w:rPr>
      </w:pPr>
      <w:r>
        <w:rPr>
          <w:rFonts w:eastAsiaTheme="minorEastAsia"/>
          <w:i/>
          <w:szCs w:val="21"/>
        </w:rPr>
        <w:t>σ</w:t>
      </w:r>
      <w:r>
        <w:rPr>
          <w:rFonts w:eastAsiaTheme="minorEastAsia"/>
          <w:i/>
          <w:szCs w:val="21"/>
          <w:vertAlign w:val="subscript"/>
        </w:rPr>
        <w:t>b</w:t>
      </w:r>
      <w:r>
        <w:rPr>
          <w:rFonts w:eastAsiaTheme="minorEastAsia"/>
          <w:szCs w:val="21"/>
        </w:rPr>
        <w:t>——轴材料的抗拉强度，MPa</w:t>
      </w:r>
      <w:r>
        <w:rPr>
          <w:rFonts w:hint="eastAsia" w:eastAsiaTheme="minorEastAsia"/>
          <w:szCs w:val="21"/>
        </w:rPr>
        <w:t>；</w:t>
      </w:r>
    </w:p>
    <w:p>
      <w:pPr>
        <w:adjustRightInd w:val="0"/>
        <w:snapToGrid w:val="0"/>
        <w:ind w:left="630" w:leftChars="300" w:firstLine="420" w:firstLineChars="200"/>
        <w:rPr>
          <w:rFonts w:eastAsiaTheme="minorEastAsia"/>
          <w:szCs w:val="21"/>
        </w:rPr>
      </w:pPr>
      <w:r>
        <w:rPr>
          <w:rFonts w:eastAsiaTheme="minorEastAsia"/>
          <w:i/>
          <w:szCs w:val="21"/>
        </w:rPr>
        <w:t>C</w:t>
      </w:r>
      <w:r>
        <w:rPr>
          <w:rFonts w:eastAsiaTheme="minorEastAsia"/>
          <w:szCs w:val="21"/>
        </w:rPr>
        <w:t>——不同轴的设计特性系数，对于螺旋桨轴</w:t>
      </w:r>
      <w:r>
        <w:rPr>
          <w:rFonts w:hint="eastAsia" w:eastAsiaTheme="minorEastAsia"/>
          <w:szCs w:val="21"/>
        </w:rPr>
        <w:t>，</w:t>
      </w:r>
      <w:r>
        <w:rPr>
          <w:rFonts w:eastAsiaTheme="minorEastAsia"/>
          <w:szCs w:val="21"/>
        </w:rPr>
        <w:t>取1.26；对于中间轴，取1.0</w:t>
      </w:r>
      <w:r>
        <w:rPr>
          <w:rFonts w:hint="eastAsia" w:eastAsiaTheme="minorEastAsia"/>
          <w:szCs w:val="21"/>
        </w:rPr>
        <w:t>；螺旋桨轴的最小直径应</w:t>
      </w:r>
      <w:r>
        <w:rPr>
          <w:rFonts w:eastAsiaTheme="minorEastAsia"/>
          <w:szCs w:val="21"/>
        </w:rPr>
        <w:t>不小于25mm。</w:t>
      </w:r>
    </w:p>
    <w:p>
      <w:pPr>
        <w:adjustRightInd w:val="0"/>
        <w:snapToGrid w:val="0"/>
        <w:ind w:firstLine="420" w:firstLineChars="200"/>
        <w:rPr>
          <w:rFonts w:eastAsiaTheme="minorEastAsia"/>
          <w:szCs w:val="21"/>
        </w:rPr>
      </w:pPr>
      <w:r>
        <w:rPr>
          <w:rFonts w:eastAsiaTheme="minorEastAsia"/>
          <w:szCs w:val="21"/>
        </w:rPr>
        <w:t>（2）主机前端输出轴的直径</w:t>
      </w:r>
      <w:r>
        <w:rPr>
          <w:rFonts w:eastAsiaTheme="minorEastAsia"/>
          <w:i/>
          <w:szCs w:val="21"/>
        </w:rPr>
        <w:t>d</w:t>
      </w:r>
      <w:r>
        <w:rPr>
          <w:rFonts w:eastAsiaTheme="minorEastAsia"/>
          <w:i/>
          <w:szCs w:val="21"/>
          <w:vertAlign w:val="subscript"/>
        </w:rPr>
        <w:t>1</w:t>
      </w:r>
      <w:r>
        <w:rPr>
          <w:rFonts w:eastAsiaTheme="minorEastAsia"/>
          <w:szCs w:val="21"/>
        </w:rPr>
        <w:t>应不小于下式的计算值：</w:t>
      </w:r>
    </w:p>
    <w:p>
      <w:pPr>
        <w:snapToGrid w:val="0"/>
        <w:spacing w:line="320" w:lineRule="atLeast"/>
        <w:jc w:val="center"/>
        <w:rPr>
          <w:rFonts w:eastAsiaTheme="minorEastAsia"/>
          <w:szCs w:val="21"/>
        </w:rPr>
      </w:pPr>
      <w:r>
        <w:rPr>
          <w:rFonts w:eastAsiaTheme="minorEastAsia"/>
          <w:position w:val="-32"/>
        </w:rPr>
        <w:object>
          <v:shape id="_x0000_i1031" o:spt="75" type="#_x0000_t75" style="height:41.45pt;width:179.3pt;" o:ole="t" filled="f" o:preferrelative="t" stroked="f" coordsize="21600,21600">
            <v:path/>
            <v:fill on="f" focussize="0,0"/>
            <v:stroke on="f" joinstyle="miter"/>
            <v:imagedata r:id="rId24" o:title=""/>
            <o:lock v:ext="edit" aspectratio="t"/>
            <w10:wrap type="none"/>
            <w10:anchorlock/>
          </v:shape>
          <o:OLEObject Type="Embed" ProgID="Equation.3" ShapeID="_x0000_i1031" DrawAspect="Content" ObjectID="_1468075729" r:id="rId23">
            <o:LockedField>false</o:LockedField>
          </o:OLEObject>
        </w:object>
      </w:r>
      <w:r>
        <w:rPr>
          <w:rFonts w:eastAsiaTheme="minorEastAsia"/>
        </w:rPr>
        <w:t xml:space="preserve"> </w:t>
      </w:r>
      <w:r>
        <w:rPr>
          <w:rFonts w:eastAsiaTheme="minorEastAsia"/>
          <w:szCs w:val="21"/>
          <w:lang w:val="zh-CN"/>
        </w:rPr>
        <w:t xml:space="preserve"> mm</w:t>
      </w:r>
    </w:p>
    <w:p>
      <w:pPr>
        <w:autoSpaceDE w:val="0"/>
        <w:autoSpaceDN w:val="0"/>
        <w:adjustRightInd w:val="0"/>
        <w:ind w:firstLine="420" w:firstLineChars="200"/>
        <w:jc w:val="left"/>
        <w:rPr>
          <w:rFonts w:eastAsiaTheme="minorEastAsia"/>
          <w:szCs w:val="21"/>
        </w:rPr>
      </w:pPr>
      <w:r>
        <w:rPr>
          <w:rFonts w:eastAsiaTheme="minorEastAsia"/>
          <w:szCs w:val="21"/>
        </w:rPr>
        <w:t>式中</w:t>
      </w:r>
      <w:r>
        <w:rPr>
          <w:rFonts w:hint="eastAsia" w:eastAsiaTheme="minorEastAsia"/>
          <w:szCs w:val="21"/>
        </w:rPr>
        <w:t>：</w:t>
      </w:r>
      <w:r>
        <w:rPr>
          <w:rFonts w:eastAsiaTheme="minorEastAsia"/>
          <w:i/>
          <w:szCs w:val="21"/>
        </w:rPr>
        <w:t>M</w:t>
      </w:r>
      <w:r>
        <w:rPr>
          <w:rFonts w:eastAsiaTheme="minorEastAsia"/>
          <w:szCs w:val="21"/>
        </w:rPr>
        <w:t>——计算截面上的弯矩，N·m；</w:t>
      </w:r>
    </w:p>
    <w:p>
      <w:pPr>
        <w:adjustRightInd w:val="0"/>
        <w:snapToGrid w:val="0"/>
        <w:ind w:left="630" w:leftChars="300" w:firstLine="420" w:firstLineChars="200"/>
        <w:rPr>
          <w:rFonts w:eastAsiaTheme="minorEastAsia"/>
          <w:szCs w:val="21"/>
        </w:rPr>
      </w:pPr>
      <w:r>
        <w:rPr>
          <w:rFonts w:eastAsiaTheme="minorEastAsia"/>
          <w:i/>
          <w:szCs w:val="21"/>
        </w:rPr>
        <w:t>T</w:t>
      </w:r>
      <w:r>
        <w:rPr>
          <w:rFonts w:eastAsiaTheme="minorEastAsia"/>
          <w:szCs w:val="21"/>
        </w:rPr>
        <w:t>——最大传递扭矩，N·m</w:t>
      </w:r>
      <w:r>
        <w:rPr>
          <w:rFonts w:hint="eastAsia" w:eastAsiaTheme="minorEastAsia"/>
          <w:szCs w:val="21"/>
        </w:rPr>
        <w:t>；</w:t>
      </w:r>
    </w:p>
    <w:p>
      <w:pPr>
        <w:adjustRightInd w:val="0"/>
        <w:snapToGrid w:val="0"/>
        <w:ind w:left="630" w:leftChars="300" w:firstLine="420" w:firstLineChars="200"/>
        <w:rPr>
          <w:rFonts w:eastAsiaTheme="minorEastAsia"/>
          <w:szCs w:val="21"/>
        </w:rPr>
      </w:pPr>
      <w:r>
        <w:rPr>
          <w:rFonts w:eastAsiaTheme="minorEastAsia"/>
          <w:i/>
          <w:szCs w:val="21"/>
        </w:rPr>
        <w:t>σ</w:t>
      </w:r>
      <w:r>
        <w:rPr>
          <w:rFonts w:eastAsiaTheme="minorEastAsia"/>
          <w:i/>
          <w:szCs w:val="21"/>
          <w:vertAlign w:val="subscript"/>
        </w:rPr>
        <w:t>b</w:t>
      </w:r>
      <w:r>
        <w:rPr>
          <w:rFonts w:eastAsiaTheme="minorEastAsia"/>
          <w:szCs w:val="21"/>
        </w:rPr>
        <w:t>——轴材料的抗拉强度，MPa</w:t>
      </w:r>
      <w:r>
        <w:rPr>
          <w:rFonts w:hint="eastAsia" w:eastAsiaTheme="minorEastAsia"/>
          <w:szCs w:val="21"/>
        </w:rPr>
        <w:t>。</w:t>
      </w:r>
    </w:p>
    <w:p>
      <w:pPr>
        <w:adjustRightInd w:val="0"/>
        <w:snapToGrid w:val="0"/>
        <w:ind w:firstLine="420" w:firstLineChars="200"/>
        <w:rPr>
          <w:rFonts w:eastAsiaTheme="minorEastAsia"/>
          <w:szCs w:val="21"/>
        </w:rPr>
      </w:pPr>
      <w:r>
        <w:rPr>
          <w:rFonts w:hint="eastAsia" w:eastAsiaTheme="minorEastAsia"/>
          <w:szCs w:val="21"/>
        </w:rPr>
        <w:t>（3）</w:t>
      </w:r>
      <w:r>
        <w:rPr>
          <w:rFonts w:eastAsiaTheme="minorEastAsia"/>
          <w:szCs w:val="21"/>
        </w:rPr>
        <w:t>主机前端输出轴所驱动辅机的总功率应不超过主机前端允许输出的功率。</w:t>
      </w:r>
    </w:p>
    <w:p>
      <w:pPr>
        <w:adjustRightInd w:val="0"/>
        <w:snapToGrid w:val="0"/>
        <w:ind w:firstLine="420" w:firstLineChars="200"/>
        <w:rPr>
          <w:rFonts w:eastAsiaTheme="minorEastAsia"/>
          <w:szCs w:val="21"/>
        </w:rPr>
      </w:pPr>
      <w:r>
        <w:rPr>
          <w:rFonts w:eastAsiaTheme="minorEastAsia"/>
          <w:szCs w:val="21"/>
        </w:rPr>
        <w:t>5.2.18.2  联轴器用键安装到轴上时，键材料的抗拉强度应不小于轴材料的抗拉强度。</w:t>
      </w:r>
    </w:p>
    <w:p>
      <w:pPr>
        <w:adjustRightInd w:val="0"/>
        <w:snapToGrid w:val="0"/>
        <w:ind w:firstLine="420" w:firstLineChars="200"/>
        <w:rPr>
          <w:rFonts w:eastAsiaTheme="minorEastAsia"/>
          <w:szCs w:val="21"/>
        </w:rPr>
      </w:pPr>
      <w:r>
        <w:rPr>
          <w:rFonts w:eastAsiaTheme="minorEastAsia"/>
          <w:szCs w:val="21"/>
        </w:rPr>
        <w:t>5.2.18.3  联轴器法兰连接的紧配螺栓应不少于螺栓总数的50%，如采用普通螺栓连接时，安装工艺应经船舶检验具体实施机构同意。</w:t>
      </w:r>
    </w:p>
    <w:p>
      <w:pPr>
        <w:adjustRightInd w:val="0"/>
        <w:snapToGrid w:val="0"/>
        <w:ind w:firstLine="420" w:firstLineChars="200"/>
        <w:rPr>
          <w:rFonts w:eastAsiaTheme="minorEastAsia"/>
          <w:szCs w:val="21"/>
        </w:rPr>
      </w:pPr>
      <w:r>
        <w:rPr>
          <w:rFonts w:eastAsiaTheme="minorEastAsia"/>
          <w:szCs w:val="21"/>
        </w:rPr>
        <w:t>5.2.18.4  在联轴器接合面处的紧配螺栓的直径</w:t>
      </w:r>
      <w:r>
        <w:rPr>
          <w:rFonts w:eastAsiaTheme="minorEastAsia"/>
          <w:i/>
          <w:szCs w:val="21"/>
        </w:rPr>
        <w:t>d</w:t>
      </w:r>
      <w:r>
        <w:rPr>
          <w:rFonts w:eastAsiaTheme="minorEastAsia"/>
          <w:i/>
          <w:szCs w:val="21"/>
          <w:vertAlign w:val="subscript"/>
        </w:rPr>
        <w:t>f</w:t>
      </w:r>
      <w:r>
        <w:rPr>
          <w:rFonts w:eastAsiaTheme="minorEastAsia"/>
          <w:szCs w:val="21"/>
        </w:rPr>
        <w:t>应不小于按下式计算的值:</w:t>
      </w:r>
    </w:p>
    <w:p>
      <w:pPr>
        <w:spacing w:before="120" w:line="320" w:lineRule="atLeast"/>
        <w:jc w:val="center"/>
        <w:rPr>
          <w:rFonts w:eastAsiaTheme="minorEastAsia"/>
          <w:szCs w:val="21"/>
        </w:rPr>
      </w:pPr>
      <w:r>
        <w:rPr>
          <w:rFonts w:eastAsiaTheme="minorEastAsia"/>
          <w:szCs w:val="21"/>
          <w:lang w:val="zh-CN"/>
        </w:rPr>
        <w:object>
          <v:shape id="_x0000_i1032" o:spt="75" type="#_x0000_t75" style="height:38.05pt;width:102.55pt;" o:ole="t" filled="f" o:preferrelative="t" stroked="f" coordsize="21600,21600">
            <v:path/>
            <v:fill on="f" focussize="0,0"/>
            <v:stroke on="f" joinstyle="miter"/>
            <v:imagedata r:id="rId26" o:title=""/>
            <o:lock v:ext="edit" aspectratio="t"/>
            <w10:wrap type="none"/>
            <w10:anchorlock/>
          </v:shape>
          <o:OLEObject Type="Embed" ProgID="Equation.3" ShapeID="_x0000_i1032" DrawAspect="Content" ObjectID="_1468075730" r:id="rId25">
            <o:LockedField>false</o:LockedField>
          </o:OLEObject>
        </w:object>
      </w:r>
      <w:r>
        <w:rPr>
          <w:rFonts w:eastAsiaTheme="minorEastAsia"/>
          <w:szCs w:val="21"/>
          <w:lang w:val="zh-CN"/>
        </w:rPr>
        <w:t xml:space="preserve">   mm</w:t>
      </w:r>
    </w:p>
    <w:p>
      <w:pPr>
        <w:autoSpaceDE w:val="0"/>
        <w:autoSpaceDN w:val="0"/>
        <w:adjustRightInd w:val="0"/>
        <w:ind w:firstLine="420" w:firstLineChars="200"/>
        <w:jc w:val="left"/>
        <w:rPr>
          <w:rFonts w:eastAsiaTheme="minorEastAsia"/>
          <w:szCs w:val="21"/>
        </w:rPr>
      </w:pPr>
      <w:r>
        <w:rPr>
          <w:rFonts w:eastAsiaTheme="minorEastAsia"/>
          <w:szCs w:val="21"/>
        </w:rPr>
        <w:t>式中</w:t>
      </w:r>
      <w:r>
        <w:rPr>
          <w:rFonts w:hint="eastAsia" w:eastAsiaTheme="minorEastAsia"/>
          <w:szCs w:val="21"/>
        </w:rPr>
        <w:t>：</w:t>
      </w:r>
      <w:r>
        <w:rPr>
          <w:rFonts w:eastAsiaTheme="minorEastAsia"/>
          <w:i/>
          <w:szCs w:val="21"/>
        </w:rPr>
        <w:t>Ne</w:t>
      </w:r>
      <w:r>
        <w:rPr>
          <w:rFonts w:eastAsiaTheme="minorEastAsia"/>
          <w:szCs w:val="21"/>
        </w:rPr>
        <w:t>——轴传递的最大持续功率，kW；</w:t>
      </w:r>
    </w:p>
    <w:p>
      <w:pPr>
        <w:adjustRightInd w:val="0"/>
        <w:snapToGrid w:val="0"/>
        <w:ind w:left="630" w:leftChars="300" w:firstLine="420" w:firstLineChars="200"/>
        <w:rPr>
          <w:rFonts w:eastAsiaTheme="minorEastAsia"/>
          <w:szCs w:val="21"/>
        </w:rPr>
      </w:pPr>
      <w:r>
        <w:rPr>
          <w:rFonts w:eastAsiaTheme="minorEastAsia"/>
          <w:i/>
          <w:szCs w:val="21"/>
        </w:rPr>
        <w:t>n</w:t>
      </w:r>
      <w:r>
        <w:rPr>
          <w:rFonts w:eastAsiaTheme="minorEastAsia"/>
          <w:i/>
          <w:szCs w:val="21"/>
          <w:vertAlign w:val="subscript"/>
        </w:rPr>
        <w:t>e</w:t>
      </w:r>
      <w:r>
        <w:rPr>
          <w:rFonts w:eastAsiaTheme="minorEastAsia"/>
          <w:szCs w:val="21"/>
        </w:rPr>
        <w:t>——轴传递</w:t>
      </w:r>
      <w:r>
        <w:rPr>
          <w:rFonts w:eastAsiaTheme="minorEastAsia"/>
          <w:i/>
          <w:szCs w:val="21"/>
        </w:rPr>
        <w:t>Ne</w:t>
      </w:r>
      <w:r>
        <w:rPr>
          <w:rFonts w:eastAsiaTheme="minorEastAsia"/>
          <w:szCs w:val="21"/>
        </w:rPr>
        <w:t>时的转速，r/min；</w:t>
      </w:r>
    </w:p>
    <w:p>
      <w:pPr>
        <w:adjustRightInd w:val="0"/>
        <w:snapToGrid w:val="0"/>
        <w:ind w:left="630" w:leftChars="300" w:firstLine="420" w:firstLineChars="200"/>
        <w:rPr>
          <w:rFonts w:eastAsiaTheme="minorEastAsia"/>
          <w:szCs w:val="21"/>
        </w:rPr>
      </w:pPr>
      <w:r>
        <w:rPr>
          <w:rFonts w:eastAsiaTheme="minorEastAsia"/>
          <w:i/>
          <w:szCs w:val="21"/>
        </w:rPr>
        <w:t>Z</w:t>
      </w:r>
      <w:r>
        <w:rPr>
          <w:rFonts w:eastAsiaTheme="minorEastAsia"/>
          <w:szCs w:val="21"/>
        </w:rPr>
        <w:t>——螺栓数量</w:t>
      </w:r>
      <w:r>
        <w:rPr>
          <w:rFonts w:hint="eastAsia" w:eastAsiaTheme="minorEastAsia"/>
          <w:szCs w:val="21"/>
        </w:rPr>
        <w:t>；</w:t>
      </w:r>
    </w:p>
    <w:p>
      <w:pPr>
        <w:adjustRightInd w:val="0"/>
        <w:snapToGrid w:val="0"/>
        <w:ind w:left="630" w:leftChars="300" w:firstLine="420" w:firstLineChars="200"/>
        <w:rPr>
          <w:rFonts w:eastAsiaTheme="minorEastAsia"/>
          <w:szCs w:val="21"/>
        </w:rPr>
      </w:pPr>
      <w:r>
        <w:rPr>
          <w:rFonts w:eastAsiaTheme="minorEastAsia"/>
          <w:i/>
          <w:szCs w:val="21"/>
        </w:rPr>
        <w:t>D</w:t>
      </w:r>
      <w:r>
        <w:rPr>
          <w:rFonts w:eastAsiaTheme="minorEastAsia"/>
          <w:szCs w:val="21"/>
        </w:rPr>
        <w:t>——节圆直径</w:t>
      </w:r>
      <w:r>
        <w:rPr>
          <w:rFonts w:hint="eastAsia" w:eastAsiaTheme="minorEastAsia"/>
          <w:szCs w:val="21"/>
        </w:rPr>
        <w:t>；</w:t>
      </w:r>
    </w:p>
    <w:p>
      <w:pPr>
        <w:adjustRightInd w:val="0"/>
        <w:snapToGrid w:val="0"/>
        <w:ind w:left="735" w:leftChars="350" w:firstLine="315" w:firstLineChars="150"/>
        <w:rPr>
          <w:rFonts w:eastAsiaTheme="minorEastAsia"/>
          <w:szCs w:val="21"/>
        </w:rPr>
      </w:pPr>
      <w:r>
        <w:rPr>
          <w:rFonts w:eastAsiaTheme="minorEastAsia"/>
          <w:i/>
          <w:szCs w:val="21"/>
        </w:rPr>
        <w:t>σ</w:t>
      </w:r>
      <w:r>
        <w:rPr>
          <w:rFonts w:eastAsiaTheme="minorEastAsia"/>
          <w:i/>
          <w:szCs w:val="21"/>
          <w:vertAlign w:val="subscript"/>
        </w:rPr>
        <w:t>b</w:t>
      </w:r>
      <w:r>
        <w:rPr>
          <w:rFonts w:eastAsiaTheme="minorEastAsia"/>
          <w:szCs w:val="21"/>
        </w:rPr>
        <w:t>——轴材料的抗拉强度，MPa。应不小于中间轴材料的抗拉强度，不大于1.7倍中间轴材料的抗拉强</w:t>
      </w:r>
      <w:r>
        <w:rPr>
          <w:rFonts w:hint="eastAsia" w:eastAsiaTheme="minorEastAsia"/>
          <w:szCs w:val="21"/>
        </w:rPr>
        <w:t>度</w:t>
      </w:r>
      <w:r>
        <w:rPr>
          <w:rFonts w:eastAsiaTheme="minorEastAsia"/>
          <w:szCs w:val="21"/>
        </w:rPr>
        <w:t>。</w:t>
      </w:r>
    </w:p>
    <w:p>
      <w:pPr>
        <w:autoSpaceDE w:val="0"/>
        <w:autoSpaceDN w:val="0"/>
        <w:adjustRightInd w:val="0"/>
        <w:ind w:firstLine="420"/>
        <w:rPr>
          <w:rFonts w:eastAsiaTheme="minorEastAsia"/>
          <w:szCs w:val="21"/>
        </w:rPr>
      </w:pPr>
      <w:r>
        <w:rPr>
          <w:rFonts w:eastAsiaTheme="minorEastAsia"/>
          <w:szCs w:val="21"/>
        </w:rPr>
        <w:t>5.2.18.5  在联轴器接合面处的紧配螺栓的直径应不小于普通螺栓的直径。如果采用普通螺栓，则螺栓的直径及安装固紧时的螺栓顶紧力矩，均应在船舶检验机构审查批准后方可应用。</w:t>
      </w:r>
    </w:p>
    <w:p>
      <w:pPr>
        <w:autoSpaceDE w:val="0"/>
        <w:autoSpaceDN w:val="0"/>
        <w:adjustRightInd w:val="0"/>
        <w:ind w:firstLine="420"/>
        <w:jc w:val="left"/>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5.2.19  离合器换向</w:t>
      </w:r>
    </w:p>
    <w:p>
      <w:pPr>
        <w:adjustRightInd w:val="0"/>
        <w:snapToGrid w:val="0"/>
        <w:ind w:firstLine="420" w:firstLineChars="200"/>
        <w:rPr>
          <w:rFonts w:eastAsiaTheme="minorEastAsia"/>
          <w:szCs w:val="21"/>
        </w:rPr>
      </w:pPr>
      <w:r>
        <w:rPr>
          <w:rFonts w:eastAsiaTheme="minorEastAsia"/>
          <w:szCs w:val="21"/>
        </w:rPr>
        <w:t>5.2.19.1  离合器的任意离合转速应不小于主机额定转速的60%。</w:t>
      </w:r>
    </w:p>
    <w:p>
      <w:pPr>
        <w:adjustRightInd w:val="0"/>
        <w:snapToGrid w:val="0"/>
        <w:ind w:firstLine="420" w:firstLineChars="200"/>
        <w:rPr>
          <w:rFonts w:eastAsiaTheme="minorEastAsia"/>
          <w:szCs w:val="21"/>
        </w:rPr>
      </w:pPr>
      <w:r>
        <w:rPr>
          <w:rFonts w:eastAsiaTheme="minorEastAsia"/>
          <w:szCs w:val="21"/>
        </w:rPr>
        <w:t>5.2.19.2  对可倒、顺的传动离合器，其换向时间应不超过15s。</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5.2.20  螺旋桨</w:t>
      </w:r>
    </w:p>
    <w:p>
      <w:pPr>
        <w:adjustRightInd w:val="0"/>
        <w:snapToGrid w:val="0"/>
        <w:ind w:firstLine="420" w:firstLineChars="200"/>
        <w:rPr>
          <w:rFonts w:eastAsiaTheme="minorEastAsia"/>
          <w:szCs w:val="21"/>
        </w:rPr>
      </w:pPr>
      <w:r>
        <w:rPr>
          <w:rFonts w:eastAsiaTheme="minorEastAsia"/>
          <w:szCs w:val="21"/>
        </w:rPr>
        <w:t>5.2.20.1  螺旋桨应可靠地固定在尾轴上，紧固螺母螺纹的旋向应与尾轴顺车方向相反。</w:t>
      </w:r>
    </w:p>
    <w:p>
      <w:pPr>
        <w:autoSpaceDE w:val="0"/>
        <w:autoSpaceDN w:val="0"/>
        <w:adjustRightInd w:val="0"/>
        <w:rPr>
          <w:rFonts w:eastAsiaTheme="minorEastAsia"/>
          <w:szCs w:val="21"/>
        </w:rPr>
      </w:pPr>
      <w:r>
        <w:rPr>
          <w:rFonts w:eastAsiaTheme="minorEastAsia"/>
          <w:szCs w:val="21"/>
        </w:rPr>
        <w:t>螺旋桨及其附件的固定螺钉、螺母等，均应有可靠的防止松动措施。如采用环氧树脂粘结时，应经船舶检验具体实施机构同意。</w:t>
      </w:r>
    </w:p>
    <w:p>
      <w:pPr>
        <w:adjustRightInd w:val="0"/>
        <w:snapToGrid w:val="0"/>
        <w:ind w:firstLine="420" w:firstLineChars="200"/>
        <w:rPr>
          <w:rFonts w:eastAsiaTheme="minorEastAsia"/>
          <w:szCs w:val="21"/>
        </w:rPr>
      </w:pPr>
      <w:r>
        <w:rPr>
          <w:rFonts w:eastAsiaTheme="minorEastAsia"/>
          <w:szCs w:val="21"/>
        </w:rPr>
        <w:t>5.2.20.2  铸造的螺旋桨不应存在有损强度的裂纹、气孔、疏松、夹渣、浇铸不足等缺陷；钢板焊接的螺旋桨不应有裂纹、卷边、漏焊等缺陷。</w:t>
      </w:r>
    </w:p>
    <w:p>
      <w:pPr>
        <w:adjustRightInd w:val="0"/>
        <w:snapToGrid w:val="0"/>
        <w:ind w:firstLine="420" w:firstLineChars="200"/>
        <w:rPr>
          <w:rFonts w:eastAsiaTheme="minorEastAsia"/>
          <w:szCs w:val="21"/>
        </w:rPr>
      </w:pPr>
      <w:r>
        <w:rPr>
          <w:rFonts w:eastAsiaTheme="minorEastAsia"/>
          <w:szCs w:val="21"/>
        </w:rPr>
        <w:t>5.2.20.3  螺旋桨加工完成后一般应作静平衡试验。</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5.2.21  操舵装置</w:t>
      </w:r>
    </w:p>
    <w:p>
      <w:pPr>
        <w:adjustRightInd w:val="0"/>
        <w:snapToGrid w:val="0"/>
        <w:ind w:firstLine="420" w:firstLineChars="200"/>
        <w:rPr>
          <w:rFonts w:eastAsiaTheme="minorEastAsia"/>
          <w:szCs w:val="21"/>
        </w:rPr>
      </w:pPr>
      <w:r>
        <w:rPr>
          <w:rFonts w:eastAsiaTheme="minorEastAsia"/>
          <w:szCs w:val="21"/>
        </w:rPr>
        <w:t>5.2.21.1  操舵装置应能确保航行时对船舶的可靠操纵。</w:t>
      </w:r>
    </w:p>
    <w:p>
      <w:pPr>
        <w:adjustRightInd w:val="0"/>
        <w:snapToGrid w:val="0"/>
        <w:ind w:firstLine="420" w:firstLineChars="200"/>
        <w:rPr>
          <w:rFonts w:eastAsiaTheme="minorEastAsia"/>
          <w:szCs w:val="21"/>
        </w:rPr>
      </w:pPr>
      <w:r>
        <w:rPr>
          <w:rFonts w:eastAsiaTheme="minorEastAsia"/>
          <w:szCs w:val="21"/>
        </w:rPr>
        <w:t>5.2.21.2  船舶应至少设置1套动力或人力操舵装置。</w:t>
      </w:r>
    </w:p>
    <w:p>
      <w:pPr>
        <w:adjustRightInd w:val="0"/>
        <w:snapToGrid w:val="0"/>
        <w:ind w:firstLine="420" w:firstLineChars="200"/>
        <w:rPr>
          <w:rFonts w:eastAsiaTheme="minorEastAsia"/>
          <w:szCs w:val="21"/>
        </w:rPr>
      </w:pPr>
      <w:r>
        <w:rPr>
          <w:rFonts w:eastAsiaTheme="minorEastAsia"/>
          <w:szCs w:val="21"/>
        </w:rPr>
        <w:t>5.2.21.3  采用动力操舵装置，则应具有２台舵机装置动力设备。</w:t>
      </w:r>
    </w:p>
    <w:p>
      <w:pPr>
        <w:adjustRightInd w:val="0"/>
        <w:snapToGrid w:val="0"/>
        <w:ind w:firstLine="420" w:firstLineChars="200"/>
        <w:rPr>
          <w:rFonts w:eastAsiaTheme="minorEastAsia"/>
          <w:szCs w:val="21"/>
        </w:rPr>
      </w:pPr>
      <w:r>
        <w:rPr>
          <w:rFonts w:eastAsiaTheme="minorEastAsia"/>
          <w:szCs w:val="21"/>
        </w:rPr>
        <w:t>5.2.21.4  采用１台电动或电动液压或主机带泵动力设备的船舶，应设人力操舵装置。</w:t>
      </w:r>
    </w:p>
    <w:p>
      <w:pPr>
        <w:adjustRightInd w:val="0"/>
        <w:snapToGrid w:val="0"/>
        <w:ind w:firstLine="420" w:firstLineChars="200"/>
        <w:rPr>
          <w:rFonts w:eastAsiaTheme="minorEastAsia"/>
          <w:szCs w:val="21"/>
        </w:rPr>
      </w:pPr>
      <w:r>
        <w:rPr>
          <w:rFonts w:eastAsiaTheme="minorEastAsia"/>
          <w:szCs w:val="21"/>
        </w:rPr>
        <w:t>5.2.21.5  操舵装置的最大舵角应限制在35°～40°范围以内。</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5.2.22  操舵时间要求</w:t>
      </w:r>
    </w:p>
    <w:p>
      <w:pPr>
        <w:adjustRightInd w:val="0"/>
        <w:snapToGrid w:val="0"/>
        <w:ind w:firstLine="420" w:firstLineChars="200"/>
        <w:rPr>
          <w:rFonts w:eastAsiaTheme="minorEastAsia"/>
          <w:szCs w:val="21"/>
        </w:rPr>
      </w:pPr>
      <w:r>
        <w:rPr>
          <w:rFonts w:eastAsiaTheme="minorEastAsia"/>
          <w:szCs w:val="21"/>
        </w:rPr>
        <w:t>5.2.22.1  船舶在设计最大航速时，从一舷35°转至另一舷30°的转舵时间，机动舵应不大于20s，人力舵应不大于30ｓ。</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5.2.23  试验</w:t>
      </w:r>
    </w:p>
    <w:p>
      <w:pPr>
        <w:adjustRightInd w:val="0"/>
        <w:snapToGrid w:val="0"/>
        <w:ind w:firstLine="420" w:firstLineChars="200"/>
        <w:rPr>
          <w:rFonts w:eastAsiaTheme="minorEastAsia"/>
          <w:szCs w:val="21"/>
        </w:rPr>
      </w:pPr>
      <w:r>
        <w:rPr>
          <w:rFonts w:eastAsiaTheme="minorEastAsia"/>
          <w:szCs w:val="21"/>
        </w:rPr>
        <w:t>5.2.23.1  轮机装置安装完毕后，应按试验大纲进行系泊和航行试验。</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75" w:name="_Toc70411354"/>
      <w:r>
        <w:rPr>
          <w:rFonts w:eastAsia="楷体"/>
          <w:b w:val="0"/>
          <w:bCs w:val="0"/>
          <w:snapToGrid w:val="0"/>
          <w:kern w:val="0"/>
          <w:sz w:val="28"/>
          <w:szCs w:val="20"/>
        </w:rPr>
        <w:t>第3节  挂桨（机）船的机械设备</w:t>
      </w:r>
      <w:bookmarkEnd w:id="75"/>
    </w:p>
    <w:p>
      <w:pPr>
        <w:adjustRightInd w:val="0"/>
        <w:snapToGrid w:val="0"/>
        <w:ind w:firstLine="422" w:firstLineChars="200"/>
        <w:rPr>
          <w:rFonts w:eastAsiaTheme="minorEastAsia"/>
          <w:b/>
          <w:szCs w:val="21"/>
        </w:rPr>
      </w:pPr>
      <w:r>
        <w:rPr>
          <w:rFonts w:eastAsiaTheme="minorEastAsia"/>
          <w:b/>
          <w:szCs w:val="21"/>
        </w:rPr>
        <w:t>5.3.1  一般要求</w:t>
      </w:r>
    </w:p>
    <w:p>
      <w:pPr>
        <w:adjustRightInd w:val="0"/>
        <w:snapToGrid w:val="0"/>
        <w:ind w:firstLine="420" w:firstLineChars="200"/>
        <w:rPr>
          <w:rFonts w:eastAsiaTheme="minorEastAsia"/>
          <w:szCs w:val="21"/>
        </w:rPr>
      </w:pPr>
      <w:r>
        <w:rPr>
          <w:rFonts w:eastAsiaTheme="minorEastAsia"/>
          <w:szCs w:val="21"/>
        </w:rPr>
        <w:t>5.3.1.1  挂机桨应有足够的操纵、维护和检修的空间位置。</w:t>
      </w:r>
    </w:p>
    <w:p>
      <w:pPr>
        <w:adjustRightInd w:val="0"/>
        <w:snapToGrid w:val="0"/>
        <w:ind w:firstLine="420" w:firstLineChars="200"/>
        <w:rPr>
          <w:rFonts w:eastAsiaTheme="minorEastAsia"/>
          <w:szCs w:val="21"/>
        </w:rPr>
      </w:pPr>
      <w:r>
        <w:rPr>
          <w:rFonts w:eastAsiaTheme="minorEastAsia"/>
          <w:szCs w:val="21"/>
        </w:rPr>
        <w:t>5.3.1.2  机械设备的固定：机座及挂桨机架的结构应牢固，机械设备应牢固地固定在船体机座或机架上。</w:t>
      </w:r>
    </w:p>
    <w:p>
      <w:pPr>
        <w:adjustRightInd w:val="0"/>
        <w:snapToGrid w:val="0"/>
        <w:ind w:firstLine="420" w:firstLineChars="200"/>
        <w:rPr>
          <w:rFonts w:eastAsiaTheme="minorEastAsia"/>
          <w:szCs w:val="21"/>
        </w:rPr>
      </w:pPr>
      <w:r>
        <w:rPr>
          <w:rFonts w:eastAsiaTheme="minorEastAsia"/>
          <w:szCs w:val="21"/>
        </w:rPr>
        <w:t>5.3.1.3  驾机合一装置的传动钢缆或链条通过水密舱壁时，允许在靠甲板处不水密。</w:t>
      </w:r>
    </w:p>
    <w:p>
      <w:pPr>
        <w:adjustRightInd w:val="0"/>
        <w:snapToGrid w:val="0"/>
        <w:ind w:firstLine="420" w:firstLineChars="200"/>
        <w:rPr>
          <w:rFonts w:eastAsiaTheme="minorEastAsia"/>
          <w:szCs w:val="21"/>
        </w:rPr>
      </w:pPr>
      <w:r>
        <w:rPr>
          <w:rFonts w:eastAsiaTheme="minorEastAsia"/>
          <w:szCs w:val="21"/>
        </w:rPr>
        <w:t>5.3.1.4  防护设施</w:t>
      </w:r>
    </w:p>
    <w:p>
      <w:pPr>
        <w:adjustRightInd w:val="0"/>
        <w:snapToGrid w:val="0"/>
        <w:ind w:firstLine="420" w:firstLineChars="200"/>
        <w:rPr>
          <w:rFonts w:eastAsiaTheme="minorEastAsia"/>
          <w:szCs w:val="21"/>
        </w:rPr>
      </w:pPr>
      <w:r>
        <w:rPr>
          <w:rFonts w:eastAsiaTheme="minorEastAsia"/>
          <w:szCs w:val="21"/>
        </w:rPr>
        <w:t>（1）凡飞轮、链条及皮带传动等运动部件，应设有栏杆或防护罩等防护设施。</w:t>
      </w:r>
    </w:p>
    <w:p>
      <w:pPr>
        <w:adjustRightInd w:val="0"/>
        <w:snapToGrid w:val="0"/>
        <w:ind w:firstLine="420" w:firstLineChars="200"/>
        <w:rPr>
          <w:rFonts w:eastAsiaTheme="minorEastAsia"/>
          <w:szCs w:val="21"/>
        </w:rPr>
      </w:pPr>
      <w:r>
        <w:rPr>
          <w:rFonts w:eastAsiaTheme="minorEastAsia"/>
          <w:szCs w:val="21"/>
        </w:rPr>
        <w:t>（2）机器处所的地板应有防滑措施。</w:t>
      </w:r>
    </w:p>
    <w:p>
      <w:pPr>
        <w:adjustRightInd w:val="0"/>
        <w:snapToGrid w:val="0"/>
        <w:ind w:firstLine="420" w:firstLineChars="200"/>
        <w:rPr>
          <w:rFonts w:eastAsiaTheme="minorEastAsia"/>
          <w:szCs w:val="21"/>
        </w:rPr>
      </w:pPr>
      <w:r>
        <w:rPr>
          <w:rFonts w:eastAsiaTheme="minorEastAsia"/>
          <w:szCs w:val="21"/>
        </w:rPr>
        <w:t>5.3.1.5  航行急流航段的内河渔船，应安装两台或两台以上的挂桨（机）。</w:t>
      </w:r>
    </w:p>
    <w:p>
      <w:pPr>
        <w:adjustRightInd w:val="0"/>
        <w:snapToGrid w:val="0"/>
        <w:ind w:firstLine="420" w:firstLineChars="200"/>
        <w:rPr>
          <w:rFonts w:eastAsiaTheme="minorEastAsia"/>
          <w:color w:val="00B0F0"/>
        </w:rPr>
      </w:pPr>
    </w:p>
    <w:p>
      <w:pPr>
        <w:adjustRightInd w:val="0"/>
        <w:snapToGrid w:val="0"/>
        <w:ind w:firstLine="422" w:firstLineChars="200"/>
        <w:rPr>
          <w:rFonts w:eastAsiaTheme="minorEastAsia"/>
          <w:b/>
          <w:szCs w:val="21"/>
        </w:rPr>
      </w:pPr>
      <w:r>
        <w:rPr>
          <w:rFonts w:eastAsiaTheme="minorEastAsia"/>
          <w:b/>
          <w:szCs w:val="21"/>
        </w:rPr>
        <w:t>5.3.2  安装</w:t>
      </w:r>
    </w:p>
    <w:p>
      <w:pPr>
        <w:adjustRightInd w:val="0"/>
        <w:snapToGrid w:val="0"/>
        <w:ind w:firstLine="420" w:firstLineChars="200"/>
        <w:rPr>
          <w:rFonts w:eastAsiaTheme="minorEastAsia"/>
          <w:szCs w:val="21"/>
        </w:rPr>
      </w:pPr>
      <w:r>
        <w:rPr>
          <w:rFonts w:eastAsiaTheme="minorEastAsia"/>
          <w:szCs w:val="21"/>
        </w:rPr>
        <w:t>5.3.2.1  当发动机与挂桨（机）采用三角皮带传动时，三角皮带安装要松紧适度，应能保证在运转时无打滑现象。</w:t>
      </w:r>
    </w:p>
    <w:p>
      <w:pPr>
        <w:adjustRightInd w:val="0"/>
        <w:snapToGrid w:val="0"/>
        <w:ind w:firstLine="420" w:firstLineChars="200"/>
        <w:rPr>
          <w:rFonts w:eastAsiaTheme="minorEastAsia"/>
          <w:szCs w:val="21"/>
        </w:rPr>
      </w:pPr>
      <w:r>
        <w:rPr>
          <w:rFonts w:eastAsiaTheme="minorEastAsia"/>
          <w:szCs w:val="21"/>
        </w:rPr>
        <w:t>5.3.2.2  螺旋桨应作外部检查。铸造螺旋桨不允许有损强度的裂纹、气孔、疏松、夹渣、浇铸不足等缺陷；钢板焊接的螺旋桨，不允许有裂纹、弯曲及漏焊等缺陷。</w:t>
      </w:r>
    </w:p>
    <w:p>
      <w:pPr>
        <w:adjustRightInd w:val="0"/>
        <w:snapToGrid w:val="0"/>
        <w:ind w:firstLine="420" w:firstLineChars="200"/>
        <w:rPr>
          <w:rFonts w:eastAsiaTheme="minorEastAsia"/>
          <w:szCs w:val="21"/>
        </w:rPr>
      </w:pPr>
      <w:r>
        <w:rPr>
          <w:rFonts w:eastAsiaTheme="minorEastAsia"/>
          <w:szCs w:val="21"/>
        </w:rPr>
        <w:t>5.3.2.3  螺旋桨紧固螺母的螺纹，必须与螺旋桨轴顺车方向相反，并应有防止螺母松动的保险装置。</w:t>
      </w:r>
    </w:p>
    <w:p>
      <w:pPr>
        <w:adjustRightInd w:val="0"/>
        <w:snapToGrid w:val="0"/>
        <w:ind w:firstLine="420" w:firstLineChars="200"/>
        <w:rPr>
          <w:rFonts w:eastAsiaTheme="minorEastAsia"/>
          <w:szCs w:val="21"/>
        </w:rPr>
      </w:pPr>
      <w:r>
        <w:rPr>
          <w:rFonts w:eastAsiaTheme="minorEastAsia"/>
          <w:szCs w:val="21"/>
        </w:rPr>
        <w:t>5.3.2.4  油门控制、主离合器及调档滑套的离合，舵柄或舵轮的操纵均应灵活、可靠。对油门与离合器或变档联动机具应保证其安全联锁作用。</w:t>
      </w:r>
    </w:p>
    <w:p>
      <w:pPr>
        <w:adjustRightInd w:val="0"/>
        <w:snapToGrid w:val="0"/>
        <w:ind w:firstLine="420" w:firstLineChars="200"/>
        <w:rPr>
          <w:rFonts w:eastAsiaTheme="minorEastAsia"/>
          <w:szCs w:val="21"/>
        </w:rPr>
      </w:pPr>
      <w:r>
        <w:rPr>
          <w:rFonts w:eastAsiaTheme="minorEastAsia"/>
          <w:szCs w:val="21"/>
        </w:rPr>
        <w:t>5.3.2.5  螺旋桨处于倒车位置时，倒车钩（销）应能可靠的钩住托架，保证倒车能正常进行。</w:t>
      </w:r>
    </w:p>
    <w:p>
      <w:pPr>
        <w:adjustRightInd w:val="0"/>
        <w:snapToGrid w:val="0"/>
        <w:ind w:firstLine="420" w:firstLineChars="200"/>
        <w:rPr>
          <w:rFonts w:eastAsiaTheme="minorEastAsia"/>
          <w:szCs w:val="21"/>
        </w:rPr>
      </w:pPr>
      <w:r>
        <w:rPr>
          <w:rFonts w:eastAsiaTheme="minorEastAsia"/>
          <w:szCs w:val="21"/>
        </w:rPr>
        <w:t>5.3.2.6  挂桨（机）安装上船时，应保证下列安装要求：</w:t>
      </w:r>
    </w:p>
    <w:p>
      <w:pPr>
        <w:adjustRightInd w:val="0"/>
        <w:snapToGrid w:val="0"/>
        <w:ind w:firstLine="420" w:firstLineChars="200"/>
        <w:rPr>
          <w:rFonts w:eastAsiaTheme="minorEastAsia"/>
          <w:szCs w:val="21"/>
        </w:rPr>
      </w:pPr>
      <w:r>
        <w:rPr>
          <w:rFonts w:eastAsiaTheme="minorEastAsia"/>
          <w:szCs w:val="21"/>
        </w:rPr>
        <w:t>（1）挂桨(机)应牢固地安装在具有足够刚性的基座上。</w:t>
      </w:r>
    </w:p>
    <w:p>
      <w:pPr>
        <w:adjustRightInd w:val="0"/>
        <w:snapToGrid w:val="0"/>
        <w:ind w:firstLine="420" w:firstLineChars="200"/>
        <w:rPr>
          <w:rFonts w:eastAsiaTheme="minorEastAsia"/>
          <w:szCs w:val="21"/>
        </w:rPr>
      </w:pPr>
      <w:r>
        <w:rPr>
          <w:rFonts w:eastAsiaTheme="minorEastAsia"/>
          <w:szCs w:val="21"/>
        </w:rPr>
        <w:t>（2）螺旋桨轴线离船舶空载水线面的距离应不小于0.7D（D系螺旋桨直径）。</w:t>
      </w:r>
    </w:p>
    <w:p>
      <w:pPr>
        <w:adjustRightInd w:val="0"/>
        <w:snapToGrid w:val="0"/>
        <w:ind w:firstLine="420" w:firstLineChars="200"/>
        <w:rPr>
          <w:rFonts w:eastAsiaTheme="minorEastAsia"/>
          <w:szCs w:val="21"/>
        </w:rPr>
      </w:pPr>
      <w:r>
        <w:rPr>
          <w:rFonts w:eastAsiaTheme="minorEastAsia"/>
          <w:szCs w:val="21"/>
        </w:rPr>
        <w:t>（3）轴管与水平面基本保持垂直。</w:t>
      </w:r>
    </w:p>
    <w:p>
      <w:pPr>
        <w:adjustRightInd w:val="0"/>
        <w:snapToGrid w:val="0"/>
        <w:ind w:firstLine="420" w:firstLineChars="200"/>
        <w:rPr>
          <w:rFonts w:eastAsiaTheme="minorEastAsia"/>
          <w:szCs w:val="21"/>
        </w:rPr>
      </w:pPr>
      <w:r>
        <w:rPr>
          <w:rFonts w:eastAsiaTheme="minorEastAsia"/>
          <w:szCs w:val="21"/>
        </w:rPr>
        <w:t>（4）轴管中心线和螺旋桨轴线所在的平面应与船舶纵剖面基本重合。</w:t>
      </w:r>
    </w:p>
    <w:p>
      <w:pPr>
        <w:adjustRightInd w:val="0"/>
        <w:snapToGrid w:val="0"/>
        <w:ind w:firstLine="420" w:firstLineChars="200"/>
        <w:rPr>
          <w:rFonts w:eastAsiaTheme="minorEastAsia"/>
          <w:szCs w:val="21"/>
        </w:rPr>
      </w:pPr>
      <w:r>
        <w:rPr>
          <w:rFonts w:eastAsiaTheme="minorEastAsia"/>
          <w:szCs w:val="21"/>
        </w:rPr>
        <w:t>（5）渔捞设备的安装应不影响到挂桨（机）的传动工作。</w:t>
      </w:r>
    </w:p>
    <w:p>
      <w:pPr>
        <w:adjustRightInd w:val="0"/>
        <w:snapToGrid w:val="0"/>
        <w:ind w:firstLine="420" w:firstLineChars="200"/>
        <w:rPr>
          <w:rFonts w:eastAsiaTheme="minorEastAsia"/>
          <w:szCs w:val="21"/>
        </w:rPr>
      </w:pPr>
      <w:r>
        <w:rPr>
          <w:rFonts w:eastAsiaTheme="minorEastAsia"/>
          <w:szCs w:val="21"/>
        </w:rPr>
        <w:t>5.3.2.7  挂桨（机）的安装位置应保证左右对称。</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5.3.3  排水设施</w:t>
      </w:r>
    </w:p>
    <w:p>
      <w:pPr>
        <w:adjustRightInd w:val="0"/>
        <w:snapToGrid w:val="0"/>
        <w:ind w:firstLine="420" w:firstLineChars="200"/>
        <w:rPr>
          <w:rFonts w:eastAsiaTheme="minorEastAsia"/>
          <w:szCs w:val="21"/>
        </w:rPr>
      </w:pPr>
      <w:r>
        <w:rPr>
          <w:rFonts w:eastAsiaTheme="minorEastAsia"/>
          <w:szCs w:val="21"/>
        </w:rPr>
        <w:t>5.3.3.1  船舶应设一套固定安装的手动舱底泵装置，其排量应不小于1m</w:t>
      </w:r>
      <w:r>
        <w:rPr>
          <w:rFonts w:eastAsiaTheme="minorEastAsia"/>
          <w:szCs w:val="21"/>
          <w:vertAlign w:val="superscript"/>
        </w:rPr>
        <w:t>3</w:t>
      </w:r>
      <w:r>
        <w:rPr>
          <w:rFonts w:eastAsiaTheme="minorEastAsia"/>
          <w:szCs w:val="21"/>
        </w:rPr>
        <w:t>/h，也可设置容量适当的水桶作为替代措施。</w:t>
      </w:r>
    </w:p>
    <w:p>
      <w:pPr>
        <w:adjustRightInd w:val="0"/>
        <w:snapToGrid w:val="0"/>
        <w:ind w:firstLine="420" w:firstLineChars="200"/>
        <w:rPr>
          <w:rFonts w:eastAsiaTheme="minorEastAsia"/>
          <w:szCs w:val="21"/>
        </w:rPr>
      </w:pPr>
      <w:r>
        <w:rPr>
          <w:rFonts w:eastAsiaTheme="minorEastAsia"/>
          <w:szCs w:val="21"/>
        </w:rPr>
        <w:t>5.3.3.2  所有排至舷外的出口均应在易于到达处安装截止止回阀。阀或其它附件应用钢或其它抗腐蚀材料制成。</w:t>
      </w:r>
    </w:p>
    <w:p>
      <w:pPr>
        <w:adjustRightInd w:val="0"/>
        <w:snapToGrid w:val="0"/>
        <w:ind w:firstLine="420" w:firstLineChars="200"/>
        <w:rPr>
          <w:rFonts w:eastAsiaTheme="minorEastAsia"/>
          <w:szCs w:val="21"/>
        </w:rPr>
      </w:pPr>
      <w:r>
        <w:rPr>
          <w:rFonts w:eastAsiaTheme="minorEastAsia"/>
          <w:szCs w:val="21"/>
        </w:rPr>
        <w:t>5.3.3.3  船壳板上的开口处应设有适当的座板，座板上的附件应采用适当的方法固紧。</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5.3.4  试验</w:t>
      </w:r>
    </w:p>
    <w:p>
      <w:pPr>
        <w:adjustRightInd w:val="0"/>
        <w:snapToGrid w:val="0"/>
        <w:ind w:firstLine="420" w:firstLineChars="200"/>
        <w:rPr>
          <w:rFonts w:eastAsiaTheme="minorEastAsia"/>
          <w:szCs w:val="21"/>
        </w:rPr>
      </w:pPr>
      <w:r>
        <w:rPr>
          <w:rFonts w:eastAsiaTheme="minorEastAsia"/>
          <w:szCs w:val="21"/>
        </w:rPr>
        <w:t>5.3.4.1  动力装置安装完毕后，应按照船舶检验具体实施机构同意的试验大纲进行系泊和航行试验。</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5.2.5  汽油机为舷外挂机的特殊</w:t>
      </w:r>
      <w:r>
        <w:rPr>
          <w:rFonts w:hint="eastAsia" w:eastAsiaTheme="minorEastAsia"/>
          <w:b/>
          <w:szCs w:val="21"/>
        </w:rPr>
        <w:t>规定</w:t>
      </w:r>
    </w:p>
    <w:p>
      <w:pPr>
        <w:adjustRightInd w:val="0"/>
        <w:snapToGrid w:val="0"/>
        <w:ind w:firstLine="420" w:firstLineChars="200"/>
        <w:rPr>
          <w:rFonts w:eastAsiaTheme="minorEastAsia"/>
          <w:szCs w:val="21"/>
        </w:rPr>
      </w:pPr>
      <w:r>
        <w:rPr>
          <w:rFonts w:eastAsiaTheme="minorEastAsia"/>
          <w:szCs w:val="21"/>
        </w:rPr>
        <w:t>5.3.5.1  舷外挂机应可靠地固定在船舶尾部。</w:t>
      </w:r>
    </w:p>
    <w:p>
      <w:pPr>
        <w:adjustRightInd w:val="0"/>
        <w:snapToGrid w:val="0"/>
        <w:ind w:firstLine="420" w:firstLineChars="200"/>
        <w:rPr>
          <w:rFonts w:eastAsiaTheme="minorEastAsia"/>
          <w:szCs w:val="21"/>
        </w:rPr>
      </w:pPr>
      <w:r>
        <w:rPr>
          <w:rFonts w:eastAsiaTheme="minorEastAsia"/>
          <w:szCs w:val="21"/>
        </w:rPr>
        <w:t>5.3.5.2  舷外挂机的操纵电缆或电线应有效密封，油管连接处不应有泄露。</w:t>
      </w:r>
    </w:p>
    <w:p>
      <w:pPr>
        <w:adjustRightInd w:val="0"/>
        <w:snapToGrid w:val="0"/>
        <w:ind w:firstLine="420" w:firstLineChars="200"/>
        <w:rPr>
          <w:rFonts w:eastAsiaTheme="minorEastAsia"/>
          <w:szCs w:val="21"/>
        </w:rPr>
      </w:pPr>
      <w:r>
        <w:rPr>
          <w:rFonts w:eastAsiaTheme="minorEastAsia"/>
          <w:szCs w:val="21"/>
        </w:rPr>
        <w:t>5.3.5.3  功率大于或等于40kW的舷外挂机，应装置固定的操舵手轮。</w:t>
      </w:r>
    </w:p>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76" w:name="_Toc70411355"/>
      <w:r>
        <w:rPr>
          <w:rFonts w:eastAsia="楷体"/>
          <w:b w:val="0"/>
          <w:bCs w:val="0"/>
          <w:snapToGrid w:val="0"/>
          <w:kern w:val="0"/>
          <w:sz w:val="28"/>
          <w:szCs w:val="20"/>
        </w:rPr>
        <w:t xml:space="preserve">第4节  </w:t>
      </w:r>
      <w:r>
        <w:rPr>
          <w:rFonts w:hint="eastAsia" w:eastAsia="楷体"/>
          <w:b w:val="0"/>
          <w:bCs w:val="0"/>
          <w:snapToGrid w:val="0"/>
          <w:kern w:val="0"/>
          <w:sz w:val="28"/>
          <w:szCs w:val="20"/>
        </w:rPr>
        <w:t>电气设备</w:t>
      </w:r>
      <w:bookmarkEnd w:id="76"/>
    </w:p>
    <w:p>
      <w:pPr>
        <w:autoSpaceDE w:val="0"/>
        <w:autoSpaceDN w:val="0"/>
        <w:adjustRightInd w:val="0"/>
        <w:snapToGrid w:val="0"/>
        <w:spacing w:line="320" w:lineRule="atLeast"/>
        <w:ind w:firstLine="424" w:firstLineChars="201"/>
        <w:rPr>
          <w:b/>
        </w:rPr>
      </w:pPr>
      <w:r>
        <w:rPr>
          <w:rFonts w:hint="eastAsia"/>
          <w:b/>
        </w:rPr>
        <w:t>5</w:t>
      </w:r>
      <w:r>
        <w:rPr>
          <w:b/>
        </w:rPr>
        <w:t>.4.1  一般要求</w:t>
      </w:r>
    </w:p>
    <w:p>
      <w:pPr>
        <w:adjustRightInd w:val="0"/>
        <w:snapToGrid w:val="0"/>
        <w:ind w:firstLine="420" w:firstLineChars="200"/>
        <w:rPr>
          <w:lang w:val="zh-CN"/>
        </w:rPr>
      </w:pPr>
      <w:r>
        <w:rPr>
          <w:rFonts w:hint="eastAsia"/>
        </w:rPr>
        <w:t>5.</w:t>
      </w:r>
      <w:r>
        <w:t>4</w:t>
      </w:r>
      <w:r>
        <w:rPr>
          <w:rFonts w:hint="eastAsia"/>
        </w:rPr>
        <w:t>.1.1</w:t>
      </w:r>
      <w:r>
        <w:t xml:space="preserve">  </w:t>
      </w:r>
      <w:r>
        <w:rPr>
          <w:lang w:val="zh-CN"/>
        </w:rPr>
        <w:t>电气装置应能：</w:t>
      </w:r>
    </w:p>
    <w:p>
      <w:pPr>
        <w:adjustRightInd w:val="0"/>
        <w:snapToGrid w:val="0"/>
        <w:ind w:firstLine="420" w:firstLineChars="200"/>
      </w:pPr>
      <w:r>
        <w:t>（1）确保船舶处于正常操作状态和满足正常生活条件所必需的所有电力设备供电，而不需求助于应急电源；</w:t>
      </w:r>
    </w:p>
    <w:p>
      <w:pPr>
        <w:adjustRightInd w:val="0"/>
        <w:snapToGrid w:val="0"/>
        <w:ind w:firstLine="420" w:firstLineChars="200"/>
      </w:pPr>
      <w:r>
        <w:t>（2）</w:t>
      </w:r>
      <w:r>
        <w:rPr>
          <w:rFonts w:hint="eastAsia"/>
        </w:rPr>
        <w:t>确保在各种紧急状态下向安全所必需的电气设备供电；</w:t>
      </w:r>
    </w:p>
    <w:p>
      <w:pPr>
        <w:adjustRightInd w:val="0"/>
        <w:snapToGrid w:val="0"/>
        <w:ind w:firstLine="420" w:firstLineChars="200"/>
      </w:pPr>
      <w:r>
        <w:t>（3）确保船员及船舶的安全，免受电气事故的危害</w:t>
      </w:r>
      <w:r>
        <w:rPr>
          <w:rFonts w:hint="eastAsia"/>
        </w:rPr>
        <w:t>。</w:t>
      </w:r>
    </w:p>
    <w:p>
      <w:pPr>
        <w:autoSpaceDE w:val="0"/>
        <w:autoSpaceDN w:val="0"/>
        <w:adjustRightInd w:val="0"/>
        <w:snapToGrid w:val="0"/>
        <w:spacing w:line="320" w:lineRule="atLeast"/>
        <w:ind w:firstLine="422" w:firstLineChars="201"/>
        <w:rPr>
          <w:color w:val="00B0F0"/>
        </w:rPr>
      </w:pPr>
    </w:p>
    <w:p>
      <w:pPr>
        <w:autoSpaceDE w:val="0"/>
        <w:autoSpaceDN w:val="0"/>
        <w:adjustRightInd w:val="0"/>
        <w:snapToGrid w:val="0"/>
        <w:spacing w:line="320" w:lineRule="atLeast"/>
        <w:ind w:firstLine="424" w:firstLineChars="201"/>
        <w:rPr>
          <w:b/>
        </w:rPr>
      </w:pPr>
      <w:r>
        <w:rPr>
          <w:rFonts w:hint="eastAsia"/>
          <w:b/>
        </w:rPr>
        <w:t>5.</w:t>
      </w:r>
      <w:r>
        <w:rPr>
          <w:b/>
        </w:rPr>
        <w:t>4</w:t>
      </w:r>
      <w:r>
        <w:rPr>
          <w:rFonts w:hint="eastAsia"/>
          <w:b/>
        </w:rPr>
        <w:t>.2</w:t>
      </w:r>
      <w:r>
        <w:rPr>
          <w:b/>
        </w:rPr>
        <w:t xml:space="preserve">  主电源</w:t>
      </w:r>
    </w:p>
    <w:p>
      <w:pPr>
        <w:adjustRightInd w:val="0"/>
        <w:snapToGrid w:val="0"/>
        <w:ind w:firstLine="420" w:firstLineChars="200"/>
      </w:pPr>
      <w:r>
        <w:rPr>
          <w:rFonts w:hint="eastAsia"/>
        </w:rPr>
        <w:t>5.</w:t>
      </w:r>
      <w:r>
        <w:t>4</w:t>
      </w:r>
      <w:r>
        <w:rPr>
          <w:rFonts w:hint="eastAsia"/>
        </w:rPr>
        <w:t xml:space="preserve">.2.1  </w:t>
      </w:r>
      <w:r>
        <w:rPr>
          <w:rFonts w:hint="eastAsia"/>
          <w:lang w:val="zh-CN"/>
        </w:rPr>
        <w:t>主电源可采用：</w:t>
      </w:r>
    </w:p>
    <w:p>
      <w:pPr>
        <w:adjustRightInd w:val="0"/>
        <w:snapToGrid w:val="0"/>
        <w:ind w:firstLine="420" w:firstLineChars="200"/>
      </w:pPr>
      <w:r>
        <w:rPr>
          <w:rFonts w:hint="eastAsia"/>
        </w:rPr>
        <w:t>（1）</w:t>
      </w:r>
      <w:r>
        <w:rPr>
          <w:rFonts w:hint="eastAsia"/>
          <w:lang w:val="zh-CN"/>
        </w:rPr>
        <w:t>由独立的原动机驱动的发电机；</w:t>
      </w:r>
    </w:p>
    <w:p>
      <w:pPr>
        <w:adjustRightInd w:val="0"/>
        <w:snapToGrid w:val="0"/>
        <w:ind w:firstLine="420" w:firstLineChars="200"/>
      </w:pPr>
      <w:r>
        <w:rPr>
          <w:rFonts w:hint="eastAsia"/>
        </w:rPr>
        <w:t>（2）</w:t>
      </w:r>
      <w:r>
        <w:rPr>
          <w:rFonts w:hint="eastAsia"/>
          <w:lang w:val="zh-CN"/>
        </w:rPr>
        <w:t>由主机驱动的发电机；</w:t>
      </w:r>
    </w:p>
    <w:p>
      <w:pPr>
        <w:adjustRightInd w:val="0"/>
        <w:snapToGrid w:val="0"/>
        <w:ind w:firstLine="420" w:firstLineChars="200"/>
      </w:pPr>
      <w:r>
        <w:rPr>
          <w:rFonts w:hint="eastAsia"/>
        </w:rPr>
        <w:t>（3）</w:t>
      </w:r>
      <w:r>
        <w:rPr>
          <w:rFonts w:hint="eastAsia"/>
          <w:lang w:val="zh-CN"/>
        </w:rPr>
        <w:t>蓄电池组。</w:t>
      </w:r>
    </w:p>
    <w:p>
      <w:pPr>
        <w:adjustRightInd w:val="0"/>
        <w:snapToGrid w:val="0"/>
        <w:ind w:firstLine="420" w:firstLineChars="200"/>
      </w:pPr>
      <w:r>
        <w:rPr>
          <w:rFonts w:hint="eastAsia"/>
        </w:rPr>
        <w:t>5.</w:t>
      </w:r>
      <w:r>
        <w:t>4</w:t>
      </w:r>
      <w:r>
        <w:rPr>
          <w:rFonts w:hint="eastAsia"/>
        </w:rPr>
        <w:t xml:space="preserve">.2.2  </w:t>
      </w:r>
      <w:r>
        <w:rPr>
          <w:rFonts w:hint="eastAsia"/>
          <w:lang w:val="zh-CN"/>
        </w:rPr>
        <w:t>本节</w:t>
      </w:r>
      <w:r>
        <w:rPr>
          <w:rFonts w:hint="eastAsia"/>
        </w:rPr>
        <w:t>5.</w:t>
      </w:r>
      <w:r>
        <w:t>4</w:t>
      </w:r>
      <w:r>
        <w:rPr>
          <w:rFonts w:hint="eastAsia"/>
        </w:rPr>
        <w:t>.2.1</w:t>
      </w:r>
      <w:r>
        <w:rPr>
          <w:rFonts w:hint="eastAsia"/>
          <w:lang w:val="zh-CN"/>
        </w:rPr>
        <w:t>所述的电源可以组合使用，但应至少满足下列要求：</w:t>
      </w:r>
    </w:p>
    <w:p>
      <w:pPr>
        <w:adjustRightInd w:val="0"/>
        <w:snapToGrid w:val="0"/>
        <w:ind w:firstLine="420" w:firstLineChars="200"/>
      </w:pPr>
      <w:r>
        <w:rPr>
          <w:rFonts w:hint="eastAsia"/>
          <w:lang w:val="zh-CN"/>
        </w:rPr>
        <w:t>（</w:t>
      </w:r>
      <w:r>
        <w:rPr>
          <w:rFonts w:hint="eastAsia"/>
        </w:rPr>
        <w:t>1</w:t>
      </w:r>
      <w:r>
        <w:rPr>
          <w:rFonts w:hint="eastAsia"/>
          <w:lang w:val="zh-CN"/>
        </w:rPr>
        <w:t>）当独立或组合连接时，电源应正常供电；</w:t>
      </w:r>
    </w:p>
    <w:p>
      <w:pPr>
        <w:adjustRightInd w:val="0"/>
        <w:snapToGrid w:val="0"/>
        <w:ind w:firstLine="420" w:firstLineChars="200"/>
      </w:pPr>
      <w:r>
        <w:rPr>
          <w:rFonts w:hint="eastAsia"/>
        </w:rPr>
        <w:t>（2）</w:t>
      </w:r>
      <w:r>
        <w:rPr>
          <w:rFonts w:hint="eastAsia"/>
          <w:lang w:val="zh-CN"/>
        </w:rPr>
        <w:t>任一电源失效或发生故障时，不应影响其他电源对所有重要设备供电。</w:t>
      </w:r>
    </w:p>
    <w:p>
      <w:pPr>
        <w:adjustRightInd w:val="0"/>
        <w:snapToGrid w:val="0"/>
        <w:ind w:firstLine="420" w:firstLineChars="200"/>
      </w:pPr>
      <w:r>
        <w:rPr>
          <w:rFonts w:hint="eastAsia"/>
        </w:rPr>
        <w:t>5.</w:t>
      </w:r>
      <w:r>
        <w:t>4</w:t>
      </w:r>
      <w:r>
        <w:rPr>
          <w:rFonts w:hint="eastAsia"/>
        </w:rPr>
        <w:t xml:space="preserve">.2.3 </w:t>
      </w:r>
      <w:r>
        <w:t xml:space="preserve"> </w:t>
      </w:r>
      <w:r>
        <w:rPr>
          <w:rFonts w:hint="eastAsia"/>
        </w:rPr>
        <w:t>主电源的设置</w:t>
      </w:r>
    </w:p>
    <w:p>
      <w:pPr>
        <w:adjustRightInd w:val="0"/>
        <w:snapToGrid w:val="0"/>
        <w:ind w:firstLine="420" w:firstLineChars="200"/>
      </w:pPr>
      <w:r>
        <w:rPr>
          <w:rFonts w:hint="eastAsia"/>
        </w:rPr>
        <w:t>（1）设有电动或电动液压动力源的操舵装置时，应至少设置l台与主机独立的发电机组和l组蓄电池；</w:t>
      </w:r>
    </w:p>
    <w:p>
      <w:pPr>
        <w:adjustRightInd w:val="0"/>
        <w:snapToGrid w:val="0"/>
        <w:ind w:firstLine="420" w:firstLineChars="200"/>
      </w:pPr>
      <w:r>
        <w:rPr>
          <w:rFonts w:hint="eastAsia"/>
        </w:rPr>
        <w:t>（2）对于船舶正常航行其全船动力设备不依靠电力供电时，应设置2组蓄电池作为船舶主电源，每组蓄电池的容量至少应能满足船舶安全航行所必需的用电设备4h的供电；</w:t>
      </w:r>
    </w:p>
    <w:p>
      <w:pPr>
        <w:adjustRightInd w:val="0"/>
        <w:snapToGrid w:val="0"/>
        <w:ind w:firstLine="420" w:firstLineChars="200"/>
      </w:pPr>
      <w:r>
        <w:rPr>
          <w:rFonts w:hint="eastAsia"/>
        </w:rPr>
        <w:t>（3）当船舶用电仅以照明用电为主时，可仅设置1组蓄电池。若蓄电池组有充足的容量，满足安全航行用电和主机启动的要求，可作为主机启动蓄电池组用。</w:t>
      </w:r>
    </w:p>
    <w:p>
      <w:pPr>
        <w:autoSpaceDE w:val="0"/>
        <w:autoSpaceDN w:val="0"/>
        <w:adjustRightInd w:val="0"/>
        <w:snapToGrid w:val="0"/>
        <w:spacing w:line="320" w:lineRule="atLeast"/>
        <w:ind w:firstLine="422" w:firstLineChars="201"/>
        <w:rPr>
          <w:color w:val="00B0F0"/>
        </w:rPr>
      </w:pPr>
    </w:p>
    <w:p>
      <w:pPr>
        <w:autoSpaceDE w:val="0"/>
        <w:autoSpaceDN w:val="0"/>
        <w:adjustRightInd w:val="0"/>
        <w:snapToGrid w:val="0"/>
        <w:spacing w:line="320" w:lineRule="atLeast"/>
        <w:ind w:firstLine="424" w:firstLineChars="201"/>
        <w:rPr>
          <w:b/>
        </w:rPr>
      </w:pPr>
      <w:r>
        <w:rPr>
          <w:rFonts w:hint="eastAsia"/>
          <w:b/>
        </w:rPr>
        <w:t>5.</w:t>
      </w:r>
      <w:r>
        <w:rPr>
          <w:b/>
        </w:rPr>
        <w:t>4.3  照明</w:t>
      </w:r>
    </w:p>
    <w:p>
      <w:pPr>
        <w:adjustRightInd w:val="0"/>
        <w:snapToGrid w:val="0"/>
        <w:ind w:firstLine="420" w:firstLineChars="200"/>
        <w:rPr>
          <w:lang w:val="zh-CN"/>
        </w:rPr>
      </w:pPr>
      <w:r>
        <w:rPr>
          <w:rFonts w:hint="eastAsia"/>
        </w:rPr>
        <w:t>5.</w:t>
      </w:r>
      <w:r>
        <w:t>4</w:t>
      </w:r>
      <w:r>
        <w:rPr>
          <w:rFonts w:hint="eastAsia"/>
        </w:rPr>
        <w:t xml:space="preserve">.3.1  </w:t>
      </w:r>
      <w:r>
        <w:rPr>
          <w:rFonts w:hint="eastAsia"/>
          <w:lang w:val="zh-CN"/>
        </w:rPr>
        <w:t>船上应设照明系统，由船舶主电源供电。室外照明应采用防水灯具。</w:t>
      </w:r>
    </w:p>
    <w:p>
      <w:pPr>
        <w:autoSpaceDE w:val="0"/>
        <w:autoSpaceDN w:val="0"/>
        <w:adjustRightInd w:val="0"/>
        <w:snapToGrid w:val="0"/>
        <w:spacing w:line="320" w:lineRule="atLeast"/>
        <w:ind w:firstLine="422" w:firstLineChars="201"/>
        <w:rPr>
          <w:color w:val="00B0F0"/>
        </w:rPr>
      </w:pPr>
    </w:p>
    <w:p>
      <w:pPr>
        <w:autoSpaceDE w:val="0"/>
        <w:autoSpaceDN w:val="0"/>
        <w:adjustRightInd w:val="0"/>
        <w:snapToGrid w:val="0"/>
        <w:spacing w:line="320" w:lineRule="atLeast"/>
        <w:ind w:firstLine="424" w:firstLineChars="201"/>
        <w:rPr>
          <w:b/>
        </w:rPr>
      </w:pPr>
      <w:r>
        <w:rPr>
          <w:rFonts w:hint="eastAsia"/>
          <w:b/>
        </w:rPr>
        <w:t>5.</w:t>
      </w:r>
      <w:r>
        <w:rPr>
          <w:b/>
        </w:rPr>
        <w:t>4</w:t>
      </w:r>
      <w:r>
        <w:rPr>
          <w:rFonts w:hint="eastAsia"/>
          <w:b/>
        </w:rPr>
        <w:t>.4</w:t>
      </w:r>
      <w:r>
        <w:rPr>
          <w:b/>
        </w:rPr>
        <w:t xml:space="preserve">  接地</w:t>
      </w:r>
    </w:p>
    <w:p>
      <w:pPr>
        <w:adjustRightInd w:val="0"/>
        <w:snapToGrid w:val="0"/>
        <w:ind w:firstLine="420" w:firstLineChars="200"/>
      </w:pPr>
      <w:r>
        <w:rPr>
          <w:rFonts w:hint="eastAsia"/>
        </w:rPr>
        <w:t>5.</w:t>
      </w:r>
      <w:r>
        <w:t>4</w:t>
      </w:r>
      <w:r>
        <w:rPr>
          <w:rFonts w:hint="eastAsia"/>
        </w:rPr>
        <w:t xml:space="preserve">.4.1 </w:t>
      </w:r>
      <w:r>
        <w:t xml:space="preserve"> </w:t>
      </w:r>
      <w:r>
        <w:rPr>
          <w:rFonts w:hint="eastAsia"/>
        </w:rPr>
        <w:t>电气设备的带电部件以外的所有可接近的金属部件均应接地，但下列情况可除外：</w:t>
      </w:r>
    </w:p>
    <w:p>
      <w:pPr>
        <w:adjustRightInd w:val="0"/>
        <w:snapToGrid w:val="0"/>
        <w:ind w:firstLine="420" w:firstLineChars="200"/>
      </w:pPr>
      <w:r>
        <w:rPr>
          <w:rFonts w:hint="eastAsia"/>
        </w:rPr>
        <w:t>（1）工作电压不超过50V的设备。交流电此项电压为均方根值，且不得由自耦变压器取得此项电压；</w:t>
      </w:r>
    </w:p>
    <w:p>
      <w:pPr>
        <w:adjustRightInd w:val="0"/>
        <w:snapToGrid w:val="0"/>
        <w:ind w:firstLine="420" w:firstLineChars="200"/>
      </w:pPr>
      <w:r>
        <w:rPr>
          <w:rFonts w:hint="eastAsia"/>
        </w:rPr>
        <w:t>（2）由只供1个用电设备的专用安全隔离变压器供电，且电压不超过250V的设备；</w:t>
      </w:r>
    </w:p>
    <w:p>
      <w:pPr>
        <w:adjustRightInd w:val="0"/>
        <w:snapToGrid w:val="0"/>
        <w:ind w:firstLine="420" w:firstLineChars="200"/>
      </w:pPr>
      <w:r>
        <w:rPr>
          <w:rFonts w:hint="eastAsia"/>
        </w:rPr>
        <w:t>（3）具有双重绝缘和(或)加强绝缘的可携式设备。</w:t>
      </w:r>
    </w:p>
    <w:p>
      <w:pPr>
        <w:adjustRightInd w:val="0"/>
        <w:snapToGrid w:val="0"/>
        <w:ind w:firstLine="420" w:firstLineChars="200"/>
      </w:pPr>
      <w:r>
        <w:rPr>
          <w:rFonts w:hint="eastAsia"/>
        </w:rPr>
        <w:t>5.</w:t>
      </w:r>
      <w:r>
        <w:t>4</w:t>
      </w:r>
      <w:r>
        <w:rPr>
          <w:rFonts w:hint="eastAsia"/>
        </w:rPr>
        <w:t xml:space="preserve">.4.2 </w:t>
      </w:r>
      <w:r>
        <w:t xml:space="preserve"> </w:t>
      </w:r>
      <w:r>
        <w:rPr>
          <w:rFonts w:hint="eastAsia"/>
        </w:rPr>
        <w:t>电气设备的金属外壳及带电部件以外的所有可接近的金属部件应采用连接导体联在一起，以形成一个连续和完整的接地系统，连接至面积不小于0.2m</w:t>
      </w:r>
      <w:r>
        <w:rPr>
          <w:rFonts w:hint="eastAsia"/>
          <w:vertAlign w:val="superscript"/>
        </w:rPr>
        <w:t>2</w:t>
      </w:r>
      <w:r>
        <w:rPr>
          <w:rFonts w:hint="eastAsia"/>
        </w:rPr>
        <w:t>、厚度不小于2mm的金属接地板上，该金属接地板的安装位置应保证在任何航行状况下均能浸没在水中，且应具有防腐蚀性能。</w:t>
      </w:r>
    </w:p>
    <w:p>
      <w:pPr>
        <w:adjustRightInd w:val="0"/>
        <w:snapToGrid w:val="0"/>
        <w:ind w:firstLine="420" w:firstLineChars="200"/>
      </w:pPr>
      <w:r>
        <w:rPr>
          <w:rFonts w:hint="eastAsia"/>
        </w:rPr>
        <w:t>5.</w:t>
      </w:r>
      <w:r>
        <w:t>4</w:t>
      </w:r>
      <w:r>
        <w:rPr>
          <w:rFonts w:hint="eastAsia"/>
        </w:rPr>
        <w:t xml:space="preserve">.4.3 </w:t>
      </w:r>
      <w:r>
        <w:t xml:space="preserve"> </w:t>
      </w:r>
      <w:r>
        <w:rPr>
          <w:rFonts w:hint="eastAsia"/>
        </w:rPr>
        <w:t>各接地系统的连接导线不应用作配电系统的导电回路。</w:t>
      </w:r>
    </w:p>
    <w:p>
      <w:pPr>
        <w:adjustRightInd w:val="0"/>
        <w:snapToGrid w:val="0"/>
        <w:ind w:firstLine="420" w:firstLineChars="200"/>
      </w:pPr>
      <w:r>
        <w:rPr>
          <w:rFonts w:hint="eastAsia"/>
        </w:rPr>
        <w:t>5.</w:t>
      </w:r>
      <w:r>
        <w:t>4</w:t>
      </w:r>
      <w:r>
        <w:rPr>
          <w:rFonts w:hint="eastAsia"/>
        </w:rPr>
        <w:t xml:space="preserve">.4.4 </w:t>
      </w:r>
      <w:r>
        <w:t xml:space="preserve"> </w:t>
      </w:r>
      <w:r>
        <w:rPr>
          <w:rFonts w:hint="eastAsia"/>
        </w:rPr>
        <w:t>应尽可能使船上所有金属部件（如管路、栏杆、油箱等）采用连接导体与本节5.</w:t>
      </w:r>
      <w:r>
        <w:t>4</w:t>
      </w:r>
      <w:r>
        <w:rPr>
          <w:rFonts w:hint="eastAsia"/>
        </w:rPr>
        <w:t>.4.2所述接地板连接在一起。尤其当主、辅机采用闪点低于60℃燃油时，其油箱、油管须采用专用导体连接到本节5.</w:t>
      </w:r>
      <w:r>
        <w:t>4</w:t>
      </w:r>
      <w:r>
        <w:rPr>
          <w:rFonts w:hint="eastAsia"/>
        </w:rPr>
        <w:t>.4.2所述的接地板上。</w:t>
      </w:r>
    </w:p>
    <w:p>
      <w:pPr>
        <w:adjustRightInd w:val="0"/>
        <w:snapToGrid w:val="0"/>
        <w:ind w:firstLine="420" w:firstLineChars="200"/>
        <w:rPr>
          <w:color w:val="00B0F0"/>
        </w:rPr>
      </w:pPr>
    </w:p>
    <w:p>
      <w:pPr>
        <w:adjustRightInd w:val="0"/>
        <w:snapToGrid w:val="0"/>
        <w:ind w:firstLine="422" w:firstLineChars="200"/>
        <w:rPr>
          <w:b/>
        </w:rPr>
      </w:pPr>
      <w:r>
        <w:rPr>
          <w:rFonts w:hint="eastAsia"/>
          <w:b/>
        </w:rPr>
        <w:t>5.</w:t>
      </w:r>
      <w:r>
        <w:rPr>
          <w:b/>
        </w:rPr>
        <w:t>4</w:t>
      </w:r>
      <w:r>
        <w:rPr>
          <w:rFonts w:hint="eastAsia"/>
          <w:b/>
        </w:rPr>
        <w:t>.5  电气灾害的预防措施</w:t>
      </w:r>
    </w:p>
    <w:p>
      <w:pPr>
        <w:adjustRightInd w:val="0"/>
        <w:snapToGrid w:val="0"/>
        <w:ind w:firstLine="420" w:firstLineChars="200"/>
      </w:pPr>
      <w:r>
        <w:rPr>
          <w:rFonts w:hint="eastAsia"/>
        </w:rPr>
        <w:t>5.</w:t>
      </w:r>
      <w:r>
        <w:t>4</w:t>
      </w:r>
      <w:r>
        <w:rPr>
          <w:rFonts w:hint="eastAsia"/>
        </w:rPr>
        <w:t xml:space="preserve">.5.1  </w:t>
      </w:r>
      <w:r>
        <w:rPr>
          <w:rFonts w:hint="eastAsia"/>
          <w:lang w:val="zh-CN"/>
        </w:rPr>
        <w:t>工作电压大于</w:t>
      </w:r>
      <w:r>
        <w:rPr>
          <w:rFonts w:hint="eastAsia"/>
        </w:rPr>
        <w:t>50V</w:t>
      </w:r>
      <w:r>
        <w:rPr>
          <w:rFonts w:hint="eastAsia"/>
          <w:lang w:val="zh-CN"/>
        </w:rPr>
        <w:t>的电气设备应符合渔船法定检验技术规则相关规定。</w:t>
      </w:r>
    </w:p>
    <w:p>
      <w:pPr>
        <w:adjustRightInd w:val="0"/>
        <w:snapToGrid w:val="0"/>
        <w:ind w:firstLine="420" w:firstLineChars="200"/>
      </w:pPr>
      <w:r>
        <w:rPr>
          <w:rFonts w:hint="eastAsia"/>
        </w:rPr>
        <w:t>5.</w:t>
      </w:r>
      <w:r>
        <w:t>4</w:t>
      </w:r>
      <w:r>
        <w:rPr>
          <w:rFonts w:hint="eastAsia"/>
        </w:rPr>
        <w:t xml:space="preserve">.5.2  </w:t>
      </w:r>
      <w:r>
        <w:rPr>
          <w:rFonts w:hint="eastAsia"/>
          <w:lang w:val="zh-CN"/>
        </w:rPr>
        <w:t>电气设备的设计和安装应能有效地防止船上人员触及带电部件，电气设备的操作手柄、按钮等应设置良好的绝缘。</w:t>
      </w:r>
    </w:p>
    <w:p>
      <w:pPr>
        <w:adjustRightInd w:val="0"/>
        <w:snapToGrid w:val="0"/>
        <w:ind w:firstLine="420" w:firstLineChars="200"/>
      </w:pPr>
      <w:r>
        <w:rPr>
          <w:rFonts w:hint="eastAsia"/>
        </w:rPr>
        <w:t>5.</w:t>
      </w:r>
      <w:r>
        <w:t>4</w:t>
      </w:r>
      <w:r>
        <w:rPr>
          <w:rFonts w:hint="eastAsia"/>
        </w:rPr>
        <w:t xml:space="preserve">.5.3  </w:t>
      </w:r>
      <w:r>
        <w:rPr>
          <w:rFonts w:hint="eastAsia"/>
          <w:lang w:val="zh-CN"/>
        </w:rPr>
        <w:t>一般应选用船用滞燃型电缆或电线，并在安装时保持其滞燃性能。电缆走线尽可能平直且易于检修。</w:t>
      </w:r>
    </w:p>
    <w:p>
      <w:pPr>
        <w:adjustRightInd w:val="0"/>
        <w:snapToGrid w:val="0"/>
        <w:ind w:firstLine="420" w:firstLineChars="200"/>
      </w:pPr>
      <w:r>
        <w:rPr>
          <w:rFonts w:hint="eastAsia"/>
        </w:rPr>
        <w:t>5.</w:t>
      </w:r>
      <w:r>
        <w:t>4</w:t>
      </w:r>
      <w:r>
        <w:rPr>
          <w:rFonts w:hint="eastAsia"/>
        </w:rPr>
        <w:t xml:space="preserve">.5.4  </w:t>
      </w:r>
      <w:r>
        <w:rPr>
          <w:rFonts w:hint="eastAsia"/>
          <w:lang w:val="zh-CN"/>
        </w:rPr>
        <w:t>电气设备不应贴近燃油舱、油柜等外壁表面安装，若不可避免时，则其与此类舱壁表面的距离应大于</w:t>
      </w:r>
      <w:r>
        <w:rPr>
          <w:rFonts w:hint="eastAsia"/>
        </w:rPr>
        <w:t>50mm</w:t>
      </w:r>
      <w:r>
        <w:rPr>
          <w:rFonts w:hint="eastAsia"/>
          <w:lang w:val="zh-CN"/>
        </w:rPr>
        <w:t>。</w:t>
      </w:r>
    </w:p>
    <w:p>
      <w:pPr>
        <w:adjustRightInd w:val="0"/>
        <w:snapToGrid w:val="0"/>
        <w:ind w:firstLine="420" w:firstLineChars="200"/>
      </w:pPr>
      <w:r>
        <w:rPr>
          <w:rFonts w:hint="eastAsia"/>
        </w:rPr>
        <w:t>5.</w:t>
      </w:r>
      <w:r>
        <w:t>4</w:t>
      </w:r>
      <w:r>
        <w:rPr>
          <w:rFonts w:hint="eastAsia"/>
        </w:rPr>
        <w:t xml:space="preserve">.5.5  </w:t>
      </w:r>
      <w:r>
        <w:rPr>
          <w:rFonts w:hint="eastAsia"/>
          <w:lang w:val="zh-CN"/>
        </w:rPr>
        <w:t>工作时能产生高温的电气设备，在安装时应有隔热防护措施，并且不应在油舱、油柜等外壁表面安装。</w:t>
      </w:r>
    </w:p>
    <w:p>
      <w:pPr>
        <w:adjustRightInd w:val="0"/>
        <w:snapToGrid w:val="0"/>
        <w:ind w:firstLine="420" w:firstLineChars="200"/>
      </w:pPr>
      <w:r>
        <w:rPr>
          <w:rFonts w:hint="eastAsia"/>
        </w:rPr>
        <w:t>5.</w:t>
      </w:r>
      <w:r>
        <w:t>4</w:t>
      </w:r>
      <w:r>
        <w:rPr>
          <w:rFonts w:hint="eastAsia"/>
        </w:rPr>
        <w:t xml:space="preserve">.5.6  </w:t>
      </w:r>
      <w:r>
        <w:rPr>
          <w:rFonts w:hint="eastAsia"/>
          <w:lang w:val="zh-CN"/>
        </w:rPr>
        <w:t>若需在可能出现爆炸性气体、蒸汽而有爆炸危险的处所安装电气设备，则应是适合于爆炸气体环境用的合格防爆电气设备。如有必要，可配备一支自带电池的手提式防爆灯，以供应急时用。</w:t>
      </w:r>
    </w:p>
    <w:p>
      <w:pPr>
        <w:adjustRightInd w:val="0"/>
        <w:snapToGrid w:val="0"/>
        <w:ind w:firstLine="420" w:firstLineChars="200"/>
        <w:rPr>
          <w:lang w:val="zh-CN"/>
        </w:rPr>
      </w:pPr>
      <w:r>
        <w:rPr>
          <w:rFonts w:hint="eastAsia"/>
        </w:rPr>
        <w:t>5.</w:t>
      </w:r>
      <w:r>
        <w:t>4</w:t>
      </w:r>
      <w:r>
        <w:rPr>
          <w:rFonts w:hint="eastAsia"/>
        </w:rPr>
        <w:t xml:space="preserve">.5.7  </w:t>
      </w:r>
      <w:r>
        <w:rPr>
          <w:rFonts w:hint="eastAsia"/>
          <w:lang w:val="zh-CN"/>
        </w:rPr>
        <w:t>每一独立回路均应设有可靠的短路保护和过载保护。</w:t>
      </w:r>
    </w:p>
    <w:p>
      <w:pPr>
        <w:autoSpaceDE w:val="0"/>
        <w:autoSpaceDN w:val="0"/>
        <w:adjustRightInd w:val="0"/>
        <w:snapToGrid w:val="0"/>
        <w:spacing w:line="320" w:lineRule="atLeast"/>
        <w:ind w:firstLine="422" w:firstLineChars="201"/>
        <w:rPr>
          <w:color w:val="00B0F0"/>
        </w:rPr>
      </w:pPr>
    </w:p>
    <w:p>
      <w:pPr>
        <w:autoSpaceDE w:val="0"/>
        <w:autoSpaceDN w:val="0"/>
        <w:adjustRightInd w:val="0"/>
        <w:snapToGrid w:val="0"/>
        <w:spacing w:line="320" w:lineRule="atLeast"/>
        <w:ind w:firstLine="424" w:firstLineChars="201"/>
        <w:rPr>
          <w:b/>
        </w:rPr>
      </w:pPr>
      <w:r>
        <w:rPr>
          <w:rFonts w:hint="eastAsia"/>
          <w:b/>
        </w:rPr>
        <w:t>5.</w:t>
      </w:r>
      <w:r>
        <w:rPr>
          <w:b/>
        </w:rPr>
        <w:t>4</w:t>
      </w:r>
      <w:r>
        <w:rPr>
          <w:rFonts w:hint="eastAsia"/>
          <w:b/>
        </w:rPr>
        <w:t>.6  绝缘</w:t>
      </w:r>
    </w:p>
    <w:p>
      <w:pPr>
        <w:adjustRightInd w:val="0"/>
        <w:snapToGrid w:val="0"/>
        <w:ind w:firstLine="420" w:firstLineChars="200"/>
        <w:rPr>
          <w:lang w:val="zh-CN"/>
        </w:rPr>
      </w:pPr>
      <w:r>
        <w:rPr>
          <w:rFonts w:hint="eastAsia"/>
        </w:rPr>
        <w:t>5.</w:t>
      </w:r>
      <w:r>
        <w:t>4</w:t>
      </w:r>
      <w:r>
        <w:rPr>
          <w:rFonts w:hint="eastAsia"/>
        </w:rPr>
        <w:t xml:space="preserve">.6.1  </w:t>
      </w:r>
      <w:r>
        <w:rPr>
          <w:rFonts w:hint="eastAsia"/>
          <w:lang w:val="zh-CN"/>
        </w:rPr>
        <w:t>电气设备及系统的热态绝缘电阻应大于</w:t>
      </w:r>
      <w:r>
        <w:rPr>
          <w:rFonts w:hint="eastAsia"/>
        </w:rPr>
        <w:t>0.3M</w:t>
      </w:r>
      <w:r>
        <w:rPr>
          <w:rFonts w:hint="eastAsia"/>
          <w:lang w:val="zh-CN"/>
        </w:rPr>
        <w:t>Ω。</w:t>
      </w:r>
    </w:p>
    <w:p>
      <w:pPr>
        <w:autoSpaceDE w:val="0"/>
        <w:autoSpaceDN w:val="0"/>
        <w:adjustRightInd w:val="0"/>
        <w:snapToGrid w:val="0"/>
        <w:spacing w:line="320" w:lineRule="atLeast"/>
        <w:rPr>
          <w:lang w:val="zh-CN"/>
        </w:rPr>
      </w:pPr>
    </w:p>
    <w:p>
      <w:pPr>
        <w:autoSpaceDE w:val="0"/>
        <w:autoSpaceDN w:val="0"/>
        <w:adjustRightInd w:val="0"/>
        <w:snapToGrid w:val="0"/>
        <w:spacing w:line="320" w:lineRule="atLeast"/>
        <w:ind w:firstLine="424" w:firstLineChars="201"/>
        <w:rPr>
          <w:b/>
        </w:rPr>
      </w:pPr>
      <w:r>
        <w:rPr>
          <w:rFonts w:hint="eastAsia"/>
          <w:b/>
        </w:rPr>
        <w:t>5.</w:t>
      </w:r>
      <w:r>
        <w:rPr>
          <w:b/>
        </w:rPr>
        <w:t>4</w:t>
      </w:r>
      <w:r>
        <w:rPr>
          <w:rFonts w:hint="eastAsia"/>
          <w:b/>
        </w:rPr>
        <w:t>.7  配电板（箱）</w:t>
      </w:r>
    </w:p>
    <w:p>
      <w:pPr>
        <w:adjustRightInd w:val="0"/>
        <w:snapToGrid w:val="0"/>
        <w:ind w:firstLine="420" w:firstLineChars="200"/>
      </w:pPr>
      <w:r>
        <w:rPr>
          <w:rFonts w:hint="eastAsia"/>
        </w:rPr>
        <w:t>5.</w:t>
      </w:r>
      <w:r>
        <w:t>4</w:t>
      </w:r>
      <w:r>
        <w:rPr>
          <w:rFonts w:hint="eastAsia"/>
        </w:rPr>
        <w:t xml:space="preserve">.7.1  </w:t>
      </w:r>
      <w:r>
        <w:rPr>
          <w:rFonts w:hint="eastAsia"/>
          <w:lang w:val="zh-CN"/>
        </w:rPr>
        <w:t>工作电压大于50V的配电装置的设计、制造、试验和安装应符合本局的有关规定。</w:t>
      </w:r>
    </w:p>
    <w:p>
      <w:pPr>
        <w:adjustRightInd w:val="0"/>
        <w:snapToGrid w:val="0"/>
        <w:ind w:firstLine="420" w:firstLineChars="200"/>
      </w:pPr>
      <w:r>
        <w:rPr>
          <w:rFonts w:hint="eastAsia"/>
        </w:rPr>
        <w:t>5.</w:t>
      </w:r>
      <w:r>
        <w:t>4</w:t>
      </w:r>
      <w:r>
        <w:rPr>
          <w:rFonts w:hint="eastAsia"/>
        </w:rPr>
        <w:t xml:space="preserve">.7.2  </w:t>
      </w:r>
      <w:r>
        <w:rPr>
          <w:rFonts w:hint="eastAsia"/>
          <w:lang w:val="zh-CN"/>
        </w:rPr>
        <w:t>配电板（箱）一般应以绝缘材料制作，其罩壳应以滞燃、耐潮材料制作。</w:t>
      </w:r>
    </w:p>
    <w:p>
      <w:pPr>
        <w:adjustRightInd w:val="0"/>
        <w:snapToGrid w:val="0"/>
        <w:ind w:firstLine="420" w:firstLineChars="200"/>
      </w:pPr>
      <w:r>
        <w:rPr>
          <w:rFonts w:hint="eastAsia"/>
        </w:rPr>
        <w:t>5.</w:t>
      </w:r>
      <w:r>
        <w:t>4</w:t>
      </w:r>
      <w:r>
        <w:rPr>
          <w:rFonts w:hint="eastAsia"/>
        </w:rPr>
        <w:t xml:space="preserve">.7.3  </w:t>
      </w:r>
      <w:r>
        <w:rPr>
          <w:rFonts w:hint="eastAsia"/>
          <w:lang w:val="zh-CN"/>
        </w:rPr>
        <w:t>配电板（箱）应安装在干燥、通风和易于观察、维修的部位。</w:t>
      </w:r>
    </w:p>
    <w:p>
      <w:pPr>
        <w:adjustRightInd w:val="0"/>
        <w:snapToGrid w:val="0"/>
        <w:ind w:firstLine="420" w:firstLineChars="200"/>
        <w:rPr>
          <w:lang w:val="zh-CN"/>
        </w:rPr>
      </w:pPr>
      <w:r>
        <w:rPr>
          <w:rFonts w:hint="eastAsia"/>
        </w:rPr>
        <w:t>5.</w:t>
      </w:r>
      <w:r>
        <w:t>4</w:t>
      </w:r>
      <w:r>
        <w:rPr>
          <w:rFonts w:hint="eastAsia"/>
        </w:rPr>
        <w:t xml:space="preserve">.7.4  </w:t>
      </w:r>
      <w:r>
        <w:rPr>
          <w:rFonts w:hint="eastAsia"/>
          <w:lang w:val="zh-CN"/>
        </w:rPr>
        <w:t>配电板（箱）的后面和上方不应设有水、油、蒸汽管、油柜以及其他液体容器，若不能避免时，则应有可靠的防护措施。</w:t>
      </w:r>
    </w:p>
    <w:p>
      <w:pPr>
        <w:autoSpaceDE w:val="0"/>
        <w:autoSpaceDN w:val="0"/>
        <w:adjustRightInd w:val="0"/>
        <w:snapToGrid w:val="0"/>
        <w:spacing w:line="320" w:lineRule="atLeast"/>
        <w:ind w:firstLine="422" w:firstLineChars="201"/>
        <w:rPr>
          <w:color w:val="00B0F0"/>
        </w:rPr>
      </w:pPr>
    </w:p>
    <w:p>
      <w:pPr>
        <w:autoSpaceDE w:val="0"/>
        <w:autoSpaceDN w:val="0"/>
        <w:adjustRightInd w:val="0"/>
        <w:snapToGrid w:val="0"/>
        <w:spacing w:line="320" w:lineRule="atLeast"/>
        <w:ind w:firstLine="424" w:firstLineChars="201"/>
        <w:rPr>
          <w:b/>
        </w:rPr>
      </w:pPr>
      <w:r>
        <w:rPr>
          <w:rFonts w:hint="eastAsia"/>
          <w:b/>
        </w:rPr>
        <w:t>5.</w:t>
      </w:r>
      <w:r>
        <w:rPr>
          <w:b/>
        </w:rPr>
        <w:t>4</w:t>
      </w:r>
      <w:r>
        <w:rPr>
          <w:rFonts w:hint="eastAsia"/>
          <w:b/>
        </w:rPr>
        <w:t>.8  蓄电池</w:t>
      </w:r>
    </w:p>
    <w:p>
      <w:pPr>
        <w:adjustRightInd w:val="0"/>
        <w:snapToGrid w:val="0"/>
        <w:ind w:firstLine="420" w:firstLineChars="200"/>
      </w:pPr>
      <w:r>
        <w:rPr>
          <w:rFonts w:hint="eastAsia"/>
        </w:rPr>
        <w:t>5.</w:t>
      </w:r>
      <w:r>
        <w:t>4</w:t>
      </w:r>
      <w:r>
        <w:rPr>
          <w:rFonts w:hint="eastAsia"/>
        </w:rPr>
        <w:t xml:space="preserve">.8.1  </w:t>
      </w:r>
      <w:r>
        <w:rPr>
          <w:rFonts w:hint="eastAsia"/>
          <w:lang w:val="zh-CN"/>
        </w:rPr>
        <w:t>蓄电池应安装在尽量靠近启动电机的位置。</w:t>
      </w:r>
    </w:p>
    <w:p>
      <w:pPr>
        <w:adjustRightInd w:val="0"/>
        <w:snapToGrid w:val="0"/>
        <w:ind w:firstLine="420" w:firstLineChars="200"/>
      </w:pPr>
      <w:r>
        <w:rPr>
          <w:rFonts w:hint="eastAsia"/>
        </w:rPr>
        <w:t>5.</w:t>
      </w:r>
      <w:r>
        <w:t>4</w:t>
      </w:r>
      <w:r>
        <w:rPr>
          <w:rFonts w:hint="eastAsia"/>
        </w:rPr>
        <w:t xml:space="preserve">.8.2  </w:t>
      </w:r>
      <w:r>
        <w:rPr>
          <w:rFonts w:hint="eastAsia"/>
          <w:lang w:val="zh-CN"/>
        </w:rPr>
        <w:t>蓄电池的安装位置应固定可靠且通风良好。</w:t>
      </w:r>
    </w:p>
    <w:p>
      <w:pPr>
        <w:adjustRightInd w:val="0"/>
        <w:snapToGrid w:val="0"/>
        <w:ind w:firstLine="420" w:firstLineChars="200"/>
        <w:rPr>
          <w:lang w:val="zh-CN"/>
        </w:rPr>
      </w:pPr>
      <w:r>
        <w:rPr>
          <w:rFonts w:hint="eastAsia"/>
        </w:rPr>
        <w:t>5.</w:t>
      </w:r>
      <w:r>
        <w:t>4</w:t>
      </w:r>
      <w:r>
        <w:rPr>
          <w:rFonts w:hint="eastAsia"/>
        </w:rPr>
        <w:t xml:space="preserve">.8.3  </w:t>
      </w:r>
      <w:r>
        <w:rPr>
          <w:rFonts w:hint="eastAsia"/>
          <w:lang w:val="zh-CN"/>
        </w:rPr>
        <w:t>蓄电池应安装在防腐托盘或专用箱柜中，便于检修及维护。</w:t>
      </w:r>
    </w:p>
    <w:p>
      <w:pPr>
        <w:spacing w:line="320" w:lineRule="atLeast"/>
        <w:ind w:firstLine="420" w:firstLineChars="200"/>
        <w:rPr>
          <w:color w:val="00B0F0"/>
        </w:rPr>
      </w:pPr>
    </w:p>
    <w:p>
      <w:pPr>
        <w:spacing w:line="320" w:lineRule="atLeast"/>
        <w:ind w:firstLine="422" w:firstLineChars="200"/>
        <w:rPr>
          <w:b/>
          <w:bCs/>
          <w:color w:val="000000"/>
        </w:rPr>
      </w:pPr>
      <w:r>
        <w:rPr>
          <w:rFonts w:hint="eastAsia"/>
          <w:b/>
          <w:bCs/>
          <w:color w:val="000000"/>
        </w:rPr>
        <w:t>5.</w:t>
      </w:r>
      <w:r>
        <w:rPr>
          <w:b/>
          <w:bCs/>
          <w:color w:val="000000"/>
        </w:rPr>
        <w:t>4</w:t>
      </w:r>
      <w:r>
        <w:rPr>
          <w:rFonts w:hint="eastAsia"/>
          <w:b/>
          <w:bCs/>
          <w:color w:val="000000"/>
        </w:rPr>
        <w:t xml:space="preserve">.9 </w:t>
      </w:r>
      <w:r>
        <w:rPr>
          <w:b/>
          <w:bCs/>
          <w:color w:val="000000"/>
        </w:rPr>
        <w:t xml:space="preserve"> 电热器具和电炊设备</w:t>
      </w:r>
    </w:p>
    <w:p>
      <w:pPr>
        <w:adjustRightInd w:val="0"/>
        <w:snapToGrid w:val="0"/>
        <w:ind w:firstLine="420" w:firstLineChars="200"/>
      </w:pPr>
      <w:r>
        <w:rPr>
          <w:rFonts w:hint="eastAsia"/>
        </w:rPr>
        <w:t>5.</w:t>
      </w:r>
      <w:r>
        <w:t>4</w:t>
      </w:r>
      <w:r>
        <w:rPr>
          <w:rFonts w:hint="eastAsia"/>
        </w:rPr>
        <w:t>.9.1  每个具有成套装置的电热器和电炊设备，不论是固定安装还是可移动的，均应由独立馈电线供电，并应由固定安装的能切断所有绝缘极的多级联动开关进行控制。若电热器和电炊设备通过插座连接时，多极控制开关应安装在插座之前或者选用带开关联锁插座。</w:t>
      </w:r>
    </w:p>
    <w:p>
      <w:pPr>
        <w:adjustRightInd w:val="0"/>
        <w:snapToGrid w:val="0"/>
        <w:ind w:firstLine="420" w:firstLineChars="200"/>
      </w:pPr>
      <w:r>
        <w:rPr>
          <w:rFonts w:hint="eastAsia"/>
        </w:rPr>
        <w:t>5.</w:t>
      </w:r>
      <w:r>
        <w:t>4</w:t>
      </w:r>
      <w:r>
        <w:rPr>
          <w:rFonts w:hint="eastAsia"/>
        </w:rPr>
        <w:t>.9.2  电炊设备的结构应保证当有液体或食品溢出，不致损坏绝缘和发生短路。</w:t>
      </w:r>
    </w:p>
    <w:p>
      <w:pPr>
        <w:adjustRightInd w:val="0"/>
        <w:snapToGrid w:val="0"/>
        <w:ind w:firstLine="420" w:firstLineChars="200"/>
        <w:rPr>
          <w:color w:val="2E75B6" w:themeColor="accent1" w:themeShade="BF"/>
        </w:rPr>
      </w:pPr>
      <w:r>
        <w:rPr>
          <w:color w:val="2E75B6" w:themeColor="accent1" w:themeShade="BF"/>
        </w:rPr>
        <w:br w:type="page"/>
      </w:r>
    </w:p>
    <w:p>
      <w:pPr>
        <w:pStyle w:val="2"/>
        <w:autoSpaceDE w:val="0"/>
        <w:autoSpaceDN w:val="0"/>
        <w:snapToGrid/>
        <w:spacing w:before="240" w:after="240" w:line="240" w:lineRule="auto"/>
        <w:textAlignment w:val="baseline"/>
        <w:rPr>
          <w:bCs w:val="0"/>
          <w:szCs w:val="20"/>
        </w:rPr>
      </w:pPr>
      <w:bookmarkStart w:id="77" w:name="_Toc70411356"/>
      <w:r>
        <w:rPr>
          <w:bCs w:val="0"/>
          <w:szCs w:val="20"/>
        </w:rPr>
        <w:t>第6</w:t>
      </w:r>
      <w:r>
        <w:rPr>
          <w:rFonts w:hint="eastAsia"/>
          <w:bCs w:val="0"/>
          <w:szCs w:val="20"/>
        </w:rPr>
        <w:t>章</w:t>
      </w:r>
      <w:r>
        <w:rPr>
          <w:bCs w:val="0"/>
          <w:szCs w:val="20"/>
        </w:rPr>
        <w:t xml:space="preserve">  </w:t>
      </w:r>
      <w:r>
        <w:rPr>
          <w:rFonts w:hint="eastAsia"/>
          <w:bCs w:val="0"/>
          <w:szCs w:val="20"/>
        </w:rPr>
        <w:t>载重线和</w:t>
      </w:r>
      <w:r>
        <w:rPr>
          <w:bCs w:val="0"/>
          <w:szCs w:val="20"/>
        </w:rPr>
        <w:t>完整稳性</w:t>
      </w:r>
      <w:bookmarkEnd w:id="77"/>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78" w:name="_Toc70411357"/>
      <w:r>
        <w:rPr>
          <w:rFonts w:eastAsia="楷体"/>
          <w:b w:val="0"/>
          <w:bCs w:val="0"/>
          <w:snapToGrid w:val="0"/>
          <w:kern w:val="0"/>
          <w:sz w:val="28"/>
          <w:szCs w:val="20"/>
        </w:rPr>
        <w:t xml:space="preserve">第1节  </w:t>
      </w:r>
      <w:r>
        <w:rPr>
          <w:rFonts w:hint="eastAsia" w:eastAsia="楷体"/>
          <w:b w:val="0"/>
          <w:bCs w:val="0"/>
          <w:snapToGrid w:val="0"/>
          <w:kern w:val="0"/>
          <w:sz w:val="28"/>
          <w:szCs w:val="20"/>
        </w:rPr>
        <w:t>一般规定</w:t>
      </w:r>
      <w:bookmarkEnd w:id="78"/>
    </w:p>
    <w:p>
      <w:pPr>
        <w:adjustRightInd w:val="0"/>
        <w:snapToGrid w:val="0"/>
        <w:ind w:firstLine="420" w:firstLineChars="200"/>
        <w:rPr>
          <w:szCs w:val="21"/>
        </w:rPr>
      </w:pPr>
      <w:r>
        <w:t xml:space="preserve">6.1.1  </w:t>
      </w:r>
      <w:r>
        <w:rPr>
          <w:rFonts w:hint="eastAsia"/>
        </w:rPr>
        <w:t>本章</w:t>
      </w:r>
      <w:r>
        <w:rPr>
          <w:szCs w:val="21"/>
        </w:rPr>
        <w:t>规定了船长小于</w:t>
      </w:r>
      <w:r>
        <w:rPr>
          <w:rFonts w:hint="eastAsia"/>
          <w:szCs w:val="21"/>
        </w:rPr>
        <w:t>12m聚乙烯</w:t>
      </w:r>
      <w:r>
        <w:rPr>
          <w:szCs w:val="21"/>
        </w:rPr>
        <w:t>渔船的</w:t>
      </w:r>
      <w:r>
        <w:rPr>
          <w:rFonts w:hint="eastAsia"/>
          <w:bCs/>
          <w:szCs w:val="21"/>
        </w:rPr>
        <w:t>载重线和</w:t>
      </w:r>
      <w:r>
        <w:rPr>
          <w:bCs/>
          <w:szCs w:val="21"/>
        </w:rPr>
        <w:t>完整稳性</w:t>
      </w:r>
      <w:r>
        <w:rPr>
          <w:rFonts w:hint="eastAsia"/>
          <w:bCs/>
          <w:szCs w:val="21"/>
        </w:rPr>
        <w:t>的技术</w:t>
      </w:r>
      <w:r>
        <w:rPr>
          <w:bCs/>
          <w:szCs w:val="21"/>
        </w:rPr>
        <w:t>要求</w:t>
      </w:r>
      <w:r>
        <w:rPr>
          <w:rFonts w:hint="eastAsia"/>
          <w:szCs w:val="21"/>
        </w:rPr>
        <w:t>。</w:t>
      </w:r>
    </w:p>
    <w:p>
      <w:pPr>
        <w:adjustRightInd w:val="0"/>
        <w:snapToGrid w:val="0"/>
        <w:ind w:firstLine="420" w:firstLineChars="200"/>
        <w:rPr>
          <w:szCs w:val="21"/>
        </w:rPr>
      </w:pPr>
      <w:r>
        <w:t xml:space="preserve">6.1.2  </w:t>
      </w:r>
      <w:r>
        <w:rPr>
          <w:szCs w:val="21"/>
        </w:rPr>
        <w:t>船长</w:t>
      </w:r>
      <w:r>
        <w:rPr>
          <w:rFonts w:hint="eastAsia"/>
          <w:szCs w:val="21"/>
        </w:rPr>
        <w:t>大于</w:t>
      </w:r>
      <w:r>
        <w:rPr>
          <w:szCs w:val="21"/>
        </w:rPr>
        <w:t>或等于</w:t>
      </w:r>
      <w:r>
        <w:rPr>
          <w:rFonts w:hint="eastAsia"/>
          <w:szCs w:val="21"/>
        </w:rPr>
        <w:t>12m聚乙烯</w:t>
      </w:r>
      <w:r>
        <w:rPr>
          <w:szCs w:val="21"/>
        </w:rPr>
        <w:t>渔船</w:t>
      </w:r>
      <w:r>
        <w:rPr>
          <w:rFonts w:hint="eastAsia"/>
          <w:bCs/>
          <w:szCs w:val="21"/>
        </w:rPr>
        <w:t>载重线和</w:t>
      </w:r>
      <w:r>
        <w:rPr>
          <w:bCs/>
          <w:szCs w:val="21"/>
        </w:rPr>
        <w:t>完整稳性</w:t>
      </w:r>
      <w:r>
        <w:rPr>
          <w:rFonts w:hint="eastAsia"/>
          <w:bCs/>
          <w:szCs w:val="21"/>
        </w:rPr>
        <w:t>的技术</w:t>
      </w:r>
      <w:r>
        <w:rPr>
          <w:bCs/>
          <w:szCs w:val="21"/>
        </w:rPr>
        <w:t>要求</w:t>
      </w:r>
      <w:r>
        <w:rPr>
          <w:rFonts w:hint="eastAsia"/>
          <w:szCs w:val="21"/>
        </w:rPr>
        <w:t>应满足《国内海洋渔船法定检验技术规则（2019）</w:t>
      </w:r>
      <w:r>
        <w:rPr>
          <w:szCs w:val="21"/>
        </w:rPr>
        <w:t>》</w:t>
      </w:r>
      <w:r>
        <w:rPr>
          <w:rFonts w:hint="eastAsia"/>
          <w:szCs w:val="21"/>
        </w:rPr>
        <w:t>或《内河渔船法定检验技术规则（2019）</w:t>
      </w:r>
      <w:r>
        <w:rPr>
          <w:szCs w:val="21"/>
        </w:rPr>
        <w:t>》</w:t>
      </w:r>
      <w:r>
        <w:rPr>
          <w:rFonts w:hint="eastAsia"/>
          <w:szCs w:val="21"/>
        </w:rPr>
        <w:t>相应篇章的</w:t>
      </w:r>
      <w:r>
        <w:rPr>
          <w:szCs w:val="21"/>
        </w:rPr>
        <w:t>规定。</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79" w:name="_Toc70411358"/>
      <w:r>
        <w:rPr>
          <w:rFonts w:eastAsia="楷体"/>
          <w:b w:val="0"/>
          <w:bCs w:val="0"/>
          <w:snapToGrid w:val="0"/>
          <w:kern w:val="0"/>
          <w:sz w:val="28"/>
          <w:szCs w:val="20"/>
        </w:rPr>
        <w:t xml:space="preserve">第2节  </w:t>
      </w:r>
      <w:r>
        <w:rPr>
          <w:rFonts w:hint="eastAsia" w:eastAsia="楷体"/>
          <w:b w:val="0"/>
          <w:bCs w:val="0"/>
          <w:snapToGrid w:val="0"/>
          <w:kern w:val="0"/>
          <w:sz w:val="28"/>
          <w:szCs w:val="20"/>
        </w:rPr>
        <w:t>载重线</w:t>
      </w:r>
      <w:bookmarkEnd w:id="79"/>
    </w:p>
    <w:p>
      <w:pPr>
        <w:ind w:firstLine="422" w:firstLineChars="200"/>
        <w:rPr>
          <w:b/>
          <w:bCs/>
          <w:color w:val="000000"/>
        </w:rPr>
      </w:pPr>
      <w:r>
        <w:rPr>
          <w:b/>
          <w:bCs/>
          <w:color w:val="000000"/>
        </w:rPr>
        <w:t>6.2.1  一般要求</w:t>
      </w:r>
    </w:p>
    <w:p>
      <w:pPr>
        <w:ind w:firstLine="420" w:firstLineChars="200"/>
        <w:rPr>
          <w:color w:val="000000"/>
        </w:rPr>
      </w:pPr>
      <w:r>
        <w:rPr>
          <w:color w:val="000000"/>
        </w:rPr>
        <w:t>6.2.1.1  新船</w:t>
      </w:r>
      <w:r>
        <w:rPr>
          <w:rFonts w:hint="eastAsia"/>
          <w:color w:val="000000"/>
        </w:rPr>
        <w:t>或</w:t>
      </w:r>
      <w:r>
        <w:rPr>
          <w:color w:val="000000"/>
        </w:rPr>
        <w:t>现有船航区或装载变化需要增加干舷</w:t>
      </w:r>
      <w:r>
        <w:rPr>
          <w:rFonts w:hint="eastAsia"/>
          <w:color w:val="000000"/>
        </w:rPr>
        <w:t>的</w:t>
      </w:r>
      <w:r>
        <w:rPr>
          <w:color w:val="000000"/>
        </w:rPr>
        <w:t>应按本节规定核定、勘划载重线。</w:t>
      </w:r>
    </w:p>
    <w:p>
      <w:pPr>
        <w:ind w:firstLine="420" w:firstLineChars="200"/>
        <w:rPr>
          <w:color w:val="000000"/>
        </w:rPr>
      </w:pPr>
      <w:r>
        <w:rPr>
          <w:color w:val="000000"/>
        </w:rPr>
        <w:t>6.2.1.2  如按本节规定核定的最小干舷与稳性、强度所决定的干舷不一致时，应取其中最大值</w:t>
      </w:r>
      <w:r>
        <w:rPr>
          <w:rFonts w:hint="eastAsia"/>
          <w:color w:val="000000"/>
        </w:rPr>
        <w:t>。</w:t>
      </w:r>
    </w:p>
    <w:p>
      <w:pPr>
        <w:ind w:firstLine="420"/>
        <w:rPr>
          <w:color w:val="000000"/>
        </w:rPr>
      </w:pPr>
      <w:r>
        <w:rPr>
          <w:color w:val="000000"/>
        </w:rPr>
        <w:t>6.2.1.3 船舶装载时的吃水应不超过勘定的航区载重线的上缘。</w:t>
      </w:r>
    </w:p>
    <w:p>
      <w:pPr>
        <w:ind w:firstLine="420"/>
        <w:rPr>
          <w:color w:val="000000"/>
        </w:rPr>
      </w:pPr>
    </w:p>
    <w:p>
      <w:pPr>
        <w:ind w:firstLine="422" w:firstLineChars="200"/>
        <w:rPr>
          <w:b/>
          <w:bCs/>
          <w:color w:val="000000"/>
        </w:rPr>
      </w:pPr>
      <w:r>
        <w:rPr>
          <w:b/>
          <w:bCs/>
          <w:color w:val="000000"/>
        </w:rPr>
        <w:t>6.2.2  载重线标志</w:t>
      </w:r>
    </w:p>
    <w:p>
      <w:pPr>
        <w:ind w:firstLine="420" w:firstLineChars="200"/>
        <w:rPr>
          <w:color w:val="000000"/>
        </w:rPr>
      </w:pPr>
      <w:r>
        <w:rPr>
          <w:color w:val="000000"/>
        </w:rPr>
        <w:t xml:space="preserve">6.2.2.1  </w:t>
      </w:r>
      <w:r>
        <w:rPr>
          <w:rFonts w:hint="eastAsia"/>
          <w:color w:val="000000"/>
        </w:rPr>
        <w:t>船长小于12m海洋渔船</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hint="eastAsia" w:ascii="Times New Roman" w:eastAsia="宋体"/>
          <w:sz w:val="21"/>
          <w:szCs w:val="21"/>
          <w:shd w:val="clear" w:color="auto" w:fill="auto"/>
        </w:rPr>
        <w:t>（1）船长小于12m海洋渔船</w:t>
      </w:r>
      <w:r>
        <w:rPr>
          <w:rFonts w:ascii="Times New Roman" w:eastAsia="宋体"/>
          <w:sz w:val="21"/>
          <w:szCs w:val="21"/>
          <w:shd w:val="clear" w:color="auto" w:fill="auto"/>
        </w:rPr>
        <w:t>载重线标志包括甲板线线段、载重线线段及</w:t>
      </w:r>
      <w:r>
        <w:rPr>
          <w:rFonts w:hint="eastAsia" w:ascii="Times New Roman" w:eastAsia="宋体"/>
          <w:sz w:val="21"/>
          <w:szCs w:val="21"/>
          <w:shd w:val="clear" w:color="auto" w:fill="auto"/>
        </w:rPr>
        <w:t>船舶检验机构标识</w:t>
      </w:r>
      <w:r>
        <w:rPr>
          <w:rFonts w:ascii="Times New Roman" w:eastAsia="宋体"/>
          <w:sz w:val="21"/>
          <w:szCs w:val="21"/>
          <w:shd w:val="clear" w:color="auto" w:fill="auto"/>
        </w:rPr>
        <w:t>。</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hint="eastAsia" w:ascii="Times New Roman" w:eastAsia="宋体"/>
          <w:sz w:val="21"/>
          <w:szCs w:val="21"/>
          <w:shd w:val="clear" w:color="auto" w:fill="auto"/>
        </w:rPr>
        <w:t>（</w:t>
      </w:r>
      <w:r>
        <w:rPr>
          <w:rFonts w:ascii="Times New Roman" w:eastAsia="宋体"/>
          <w:sz w:val="21"/>
          <w:szCs w:val="21"/>
          <w:shd w:val="clear" w:color="auto" w:fill="auto"/>
        </w:rPr>
        <w:t>2</w:t>
      </w:r>
      <w:r>
        <w:rPr>
          <w:rFonts w:hint="eastAsia" w:ascii="Times New Roman" w:eastAsia="宋体"/>
          <w:sz w:val="21"/>
          <w:szCs w:val="21"/>
          <w:shd w:val="clear" w:color="auto" w:fill="auto"/>
        </w:rPr>
        <w:t>）船长小于12m海洋渔船</w:t>
      </w:r>
      <w:r>
        <w:rPr>
          <w:rFonts w:ascii="Times New Roman" w:eastAsia="宋体"/>
          <w:sz w:val="21"/>
          <w:szCs w:val="21"/>
          <w:shd w:val="clear" w:color="auto" w:fill="auto"/>
        </w:rPr>
        <w:t>应按图6.2.2.1</w:t>
      </w:r>
      <w:r>
        <w:rPr>
          <w:rFonts w:hint="eastAsia" w:ascii="Times New Roman" w:eastAsia="宋体"/>
          <w:sz w:val="21"/>
          <w:szCs w:val="21"/>
          <w:shd w:val="clear" w:color="auto" w:fill="auto"/>
        </w:rPr>
        <w:t>（</w:t>
      </w:r>
      <w:r>
        <w:rPr>
          <w:rFonts w:ascii="Times New Roman" w:eastAsia="宋体"/>
          <w:sz w:val="21"/>
          <w:szCs w:val="21"/>
          <w:shd w:val="clear" w:color="auto" w:fill="auto"/>
        </w:rPr>
        <w:t>2</w:t>
      </w:r>
      <w:r>
        <w:rPr>
          <w:rFonts w:hint="eastAsia" w:ascii="Times New Roman" w:eastAsia="宋体"/>
          <w:sz w:val="21"/>
          <w:szCs w:val="21"/>
          <w:shd w:val="clear" w:color="auto" w:fill="auto"/>
        </w:rPr>
        <w:t>）</w:t>
      </w:r>
      <w:r>
        <w:rPr>
          <w:rFonts w:ascii="Times New Roman" w:eastAsia="宋体"/>
          <w:sz w:val="21"/>
          <w:szCs w:val="21"/>
          <w:shd w:val="clear" w:color="auto" w:fill="auto"/>
        </w:rPr>
        <w:t>的规定在船舯两舷永久性地勘划载重线标志。</w:t>
      </w:r>
    </w:p>
    <w:p>
      <w:pPr>
        <w:pStyle w:val="45"/>
        <w:adjustRightInd w:val="0"/>
        <w:snapToGrid w:val="0"/>
        <w:spacing w:line="320" w:lineRule="atLeast"/>
        <w:ind w:firstLine="565" w:firstLineChars="202"/>
        <w:jc w:val="center"/>
        <w:rPr>
          <w:rFonts w:ascii="Times New Roman" w:eastAsia="宋体"/>
          <w:sz w:val="21"/>
          <w:szCs w:val="21"/>
          <w:shd w:val="clear" w:color="auto" w:fill="auto"/>
        </w:rPr>
      </w:pPr>
      <w:r>
        <w:drawing>
          <wp:inline distT="0" distB="0" distL="0" distR="0">
            <wp:extent cx="2829560" cy="1966595"/>
            <wp:effectExtent l="0" t="0" r="8890" b="0"/>
            <wp:docPr id="10" name="图片 10" descr="C:\Users\LSY\Desktop\A9R1dmou31_kraorq_a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SY\Desktop\A9R1dmou31_kraorq_ao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29560" cy="1966595"/>
                    </a:xfrm>
                    <a:prstGeom prst="rect">
                      <a:avLst/>
                    </a:prstGeom>
                    <a:noFill/>
                    <a:ln>
                      <a:noFill/>
                    </a:ln>
                  </pic:spPr>
                </pic:pic>
              </a:graphicData>
            </a:graphic>
          </wp:inline>
        </w:drawing>
      </w:r>
    </w:p>
    <w:p>
      <w:pPr>
        <w:pStyle w:val="45"/>
        <w:adjustRightInd w:val="0"/>
        <w:snapToGrid w:val="0"/>
        <w:spacing w:line="320" w:lineRule="atLeast"/>
        <w:ind w:firstLine="424" w:firstLineChars="202"/>
        <w:jc w:val="center"/>
        <w:rPr>
          <w:rFonts w:ascii="Times New Roman" w:eastAsia="宋体"/>
          <w:sz w:val="21"/>
          <w:szCs w:val="21"/>
          <w:shd w:val="clear" w:color="auto" w:fill="auto"/>
        </w:rPr>
      </w:pPr>
      <w:r>
        <w:rPr>
          <w:rFonts w:ascii="Times New Roman" w:eastAsia="宋体"/>
          <w:sz w:val="21"/>
          <w:szCs w:val="21"/>
          <w:shd w:val="clear" w:color="auto" w:fill="auto"/>
        </w:rPr>
        <w:t>图6.2.2.1</w:t>
      </w:r>
      <w:r>
        <w:rPr>
          <w:rFonts w:hint="eastAsia" w:ascii="Times New Roman" w:eastAsia="宋体"/>
          <w:sz w:val="21"/>
          <w:szCs w:val="21"/>
          <w:shd w:val="clear" w:color="auto" w:fill="auto"/>
        </w:rPr>
        <w:t>（</w:t>
      </w:r>
      <w:r>
        <w:rPr>
          <w:rFonts w:ascii="Times New Roman" w:eastAsia="宋体"/>
          <w:sz w:val="21"/>
          <w:szCs w:val="21"/>
          <w:shd w:val="clear" w:color="auto" w:fill="auto"/>
        </w:rPr>
        <w:t>2</w:t>
      </w:r>
      <w:r>
        <w:rPr>
          <w:rFonts w:hint="eastAsia" w:ascii="Times New Roman" w:eastAsia="宋体"/>
          <w:sz w:val="21"/>
          <w:szCs w:val="21"/>
          <w:shd w:val="clear" w:color="auto" w:fill="auto"/>
        </w:rPr>
        <w:t>）</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hint="eastAsia" w:ascii="Times New Roman" w:eastAsia="宋体"/>
          <w:sz w:val="21"/>
          <w:szCs w:val="21"/>
          <w:shd w:val="clear" w:color="auto" w:fill="auto"/>
        </w:rPr>
        <w:t>（3）</w:t>
      </w:r>
      <w:r>
        <w:rPr>
          <w:rFonts w:ascii="Times New Roman" w:eastAsia="宋体"/>
          <w:sz w:val="21"/>
          <w:szCs w:val="21"/>
          <w:shd w:val="clear" w:color="auto" w:fill="auto"/>
        </w:rPr>
        <w:t>甲板线系指勘划于两舷的300mm×25mm水平线段，其中点位于船长中点，其上缘应为通过干舷甲板上表面向外延伸于船壳外表面交点的水平线。对于船中无甲板的船舶，甲板线上缘为通过舷侧板顶线的水平线。</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hint="eastAsia" w:ascii="Times New Roman" w:eastAsia="宋体"/>
          <w:sz w:val="21"/>
          <w:szCs w:val="21"/>
          <w:shd w:val="clear" w:color="auto" w:fill="auto"/>
        </w:rPr>
        <w:t>（4）</w:t>
      </w:r>
      <w:r>
        <w:rPr>
          <w:rFonts w:ascii="Times New Roman" w:eastAsia="宋体"/>
          <w:sz w:val="21"/>
          <w:szCs w:val="21"/>
          <w:shd w:val="clear" w:color="auto" w:fill="auto"/>
        </w:rPr>
        <w:t>载重线系指勘划于两舷的400mm×25mm的水平线段，其中点位于船长中点，其上缘至甲板线上缘的垂直距离等于所核定的干舷。</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hint="eastAsia" w:ascii="Times New Roman" w:eastAsia="宋体"/>
          <w:sz w:val="21"/>
          <w:szCs w:val="21"/>
          <w:shd w:val="clear" w:color="auto" w:fill="auto"/>
        </w:rPr>
        <w:t>（5）船舶检验机构标识为</w:t>
      </w:r>
      <w:r>
        <w:rPr>
          <w:rFonts w:ascii="Times New Roman" w:eastAsia="宋体"/>
          <w:sz w:val="21"/>
          <w:szCs w:val="21"/>
          <w:shd w:val="clear" w:color="auto" w:fill="auto"/>
        </w:rPr>
        <w:t>字母Z</w:t>
      </w:r>
      <w:r>
        <w:rPr>
          <w:rFonts w:hint="eastAsia" w:ascii="Times New Roman" w:eastAsia="宋体"/>
          <w:sz w:val="21"/>
          <w:szCs w:val="21"/>
          <w:shd w:val="clear" w:color="auto" w:fill="auto"/>
        </w:rPr>
        <w:t>C</w:t>
      </w:r>
      <w:r>
        <w:rPr>
          <w:rFonts w:ascii="Times New Roman" w:eastAsia="宋体"/>
          <w:sz w:val="21"/>
          <w:szCs w:val="21"/>
          <w:shd w:val="clear" w:color="auto" w:fill="auto"/>
        </w:rPr>
        <w:t>，字母高为100mm、宽60mm、间距25mm。</w:t>
      </w:r>
    </w:p>
    <w:p>
      <w:pPr>
        <w:ind w:firstLine="420" w:firstLineChars="200"/>
        <w:rPr>
          <w:color w:val="000000"/>
        </w:rPr>
      </w:pPr>
      <w:r>
        <w:rPr>
          <w:color w:val="000000"/>
        </w:rPr>
        <w:t xml:space="preserve">6.2.2.2  </w:t>
      </w:r>
      <w:r>
        <w:rPr>
          <w:rFonts w:hint="eastAsia"/>
          <w:color w:val="000000"/>
        </w:rPr>
        <w:t>船长小于12m内河渔船</w:t>
      </w:r>
    </w:p>
    <w:p>
      <w:pPr>
        <w:ind w:firstLine="420" w:firstLineChars="200"/>
        <w:rPr>
          <w:szCs w:val="21"/>
        </w:rPr>
      </w:pPr>
      <w:r>
        <w:rPr>
          <w:rFonts w:hint="eastAsia"/>
          <w:color w:val="000000"/>
        </w:rPr>
        <w:t>（1）船长小于12m内河渔船</w:t>
      </w:r>
      <w:r>
        <w:rPr>
          <w:szCs w:val="21"/>
        </w:rPr>
        <w:t>载重线标志包括甲板线线段、载重线线段</w:t>
      </w:r>
      <w:r>
        <w:rPr>
          <w:rFonts w:hint="eastAsia"/>
          <w:szCs w:val="21"/>
        </w:rPr>
        <w:t>、</w:t>
      </w:r>
      <w:r>
        <w:rPr>
          <w:szCs w:val="21"/>
        </w:rPr>
        <w:t>航区及</w:t>
      </w:r>
      <w:r>
        <w:rPr>
          <w:rFonts w:hint="eastAsia"/>
          <w:szCs w:val="21"/>
        </w:rPr>
        <w:t>船舶检验机构标识</w:t>
      </w:r>
      <w:r>
        <w:rPr>
          <w:szCs w:val="21"/>
        </w:rPr>
        <w:t>。</w:t>
      </w:r>
    </w:p>
    <w:p>
      <w:pPr>
        <w:ind w:firstLine="420" w:firstLineChars="200"/>
        <w:rPr>
          <w:szCs w:val="21"/>
        </w:rPr>
      </w:pPr>
      <w:r>
        <w:rPr>
          <w:rFonts w:hint="eastAsia"/>
          <w:szCs w:val="21"/>
        </w:rPr>
        <w:t>（2）</w:t>
      </w:r>
      <w:r>
        <w:rPr>
          <w:rFonts w:hint="eastAsia"/>
          <w:color w:val="000000"/>
        </w:rPr>
        <w:t>船长小于12m内河渔船</w:t>
      </w:r>
      <w:r>
        <w:rPr>
          <w:szCs w:val="21"/>
        </w:rPr>
        <w:t>应按图6.2.2.2</w:t>
      </w:r>
      <w:r>
        <w:rPr>
          <w:rFonts w:hint="eastAsia"/>
          <w:szCs w:val="21"/>
        </w:rPr>
        <w:t>（</w:t>
      </w:r>
      <w:r>
        <w:rPr>
          <w:szCs w:val="21"/>
        </w:rPr>
        <w:t>2</w:t>
      </w:r>
      <w:r>
        <w:rPr>
          <w:rFonts w:hint="eastAsia"/>
          <w:szCs w:val="21"/>
        </w:rPr>
        <w:t>）</w:t>
      </w:r>
      <w:r>
        <w:rPr>
          <w:szCs w:val="21"/>
        </w:rPr>
        <w:t>的规定在船舯两舷永久性地勘划载重线标志。</w:t>
      </w:r>
    </w:p>
    <w:p>
      <w:pPr>
        <w:ind w:firstLine="420" w:firstLineChars="200"/>
        <w:rPr>
          <w:color w:val="000000"/>
        </w:rPr>
      </w:pPr>
    </w:p>
    <w:p>
      <w:pPr>
        <w:jc w:val="center"/>
        <w:rPr>
          <w:color w:val="FF0000"/>
        </w:rPr>
      </w:pPr>
      <w:r>
        <w:rPr>
          <w:rFonts w:hint="eastAsia"/>
          <w:color w:val="FF0000"/>
        </w:rPr>
        <w:drawing>
          <wp:inline distT="0" distB="0" distL="0" distR="0">
            <wp:extent cx="2145030" cy="181229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238649" cy="1891272"/>
                    </a:xfrm>
                    <a:prstGeom prst="rect">
                      <a:avLst/>
                    </a:prstGeom>
                    <a:noFill/>
                    <a:ln>
                      <a:noFill/>
                    </a:ln>
                  </pic:spPr>
                </pic:pic>
              </a:graphicData>
            </a:graphic>
          </wp:inline>
        </w:drawing>
      </w:r>
    </w:p>
    <w:p>
      <w:pPr>
        <w:jc w:val="center"/>
        <w:rPr>
          <w:sz w:val="29"/>
        </w:rPr>
      </w:pPr>
      <w:r>
        <w:rPr>
          <w:rFonts w:hint="eastAsia"/>
        </w:rPr>
        <w:t xml:space="preserve"> </w:t>
      </w:r>
      <w:r>
        <w:t xml:space="preserve"> 图6.2.2.2</w:t>
      </w:r>
      <w:r>
        <w:rPr>
          <w:rFonts w:hint="eastAsia"/>
        </w:rPr>
        <w:t>（2）</w:t>
      </w:r>
    </w:p>
    <w:p>
      <w:pPr>
        <w:ind w:firstLine="420" w:firstLineChars="200"/>
        <w:rPr>
          <w:color w:val="000000"/>
        </w:rPr>
      </w:pPr>
      <w:r>
        <w:rPr>
          <w:rFonts w:hint="eastAsia"/>
          <w:color w:val="000000"/>
        </w:rPr>
        <w:t>（3）</w:t>
      </w:r>
      <w:r>
        <w:rPr>
          <w:color w:val="000000"/>
        </w:rPr>
        <w:t>甲板线系指勘划于两舷的300mm</w:t>
      </w:r>
      <w:r>
        <w:t>×</w:t>
      </w:r>
      <w:r>
        <w:rPr>
          <w:color w:val="000000"/>
        </w:rPr>
        <w:t>25mm水平线段，</w:t>
      </w:r>
      <w:r>
        <w:rPr>
          <w:rFonts w:hint="eastAsia"/>
          <w:color w:val="000000"/>
        </w:rPr>
        <w:t>其</w:t>
      </w:r>
      <w:r>
        <w:rPr>
          <w:color w:val="000000"/>
        </w:rPr>
        <w:t>中点位于船中，其上缘应为通过干舷甲板上表面向外延伸于船壳外表面交点的水平线。对于船中无甲板的船舶，甲板线上缘为通过舷侧板顶线的水平线。</w:t>
      </w:r>
    </w:p>
    <w:p>
      <w:pPr>
        <w:ind w:firstLine="420" w:firstLineChars="200"/>
        <w:rPr>
          <w:color w:val="000000"/>
        </w:rPr>
      </w:pPr>
      <w:r>
        <w:rPr>
          <w:rFonts w:hint="eastAsia"/>
          <w:color w:val="000000"/>
        </w:rPr>
        <w:t>（4）</w:t>
      </w:r>
      <w:r>
        <w:rPr>
          <w:color w:val="000000"/>
        </w:rPr>
        <w:t>载重线系指勘划于两舷的400mm×25mm的水平线段，线段的中点位于船中，其上缘至甲板线上边缘的垂直距离等于所核定最高一级航区的干舷。</w:t>
      </w:r>
    </w:p>
    <w:p>
      <w:pPr>
        <w:ind w:firstLine="420" w:firstLineChars="200"/>
        <w:rPr>
          <w:color w:val="FF0000"/>
        </w:rPr>
      </w:pPr>
      <w:r>
        <w:rPr>
          <w:rFonts w:hint="eastAsia"/>
          <w:color w:val="000000"/>
        </w:rPr>
        <w:t>（5）</w:t>
      </w:r>
      <w:r>
        <w:rPr>
          <w:color w:val="000000"/>
        </w:rPr>
        <w:t>载重线的左侧绘以字母“ZC”，代表船舶检验机构。所绘“ZC”字母高为100mm、宽60mm、间距25mm，其离载重线标志上缘及左端各为25mm。在载重线标志右侧绘以表示航区的字母“A”(或B或C或J)，字母高100mm、宽60mm，其下缘与载重线标志上缘平齐，与载重线标志右端的距离25mm，如图6.2.2.2</w:t>
      </w:r>
      <w:r>
        <w:rPr>
          <w:rFonts w:hint="eastAsia"/>
          <w:color w:val="000000"/>
        </w:rPr>
        <w:t>（5）</w:t>
      </w:r>
      <w:r>
        <w:rPr>
          <w:color w:val="000000"/>
        </w:rPr>
        <w:t>所示。</w:t>
      </w:r>
    </w:p>
    <w:p>
      <w:pPr>
        <w:jc w:val="center"/>
        <w:rPr>
          <w:color w:val="FF0000"/>
        </w:rPr>
      </w:pPr>
      <w:r>
        <w:rPr>
          <w:rFonts w:hint="eastAsia"/>
          <w:color w:val="FF0000"/>
        </w:rPr>
        <w:drawing>
          <wp:inline distT="0" distB="0" distL="0" distR="0">
            <wp:extent cx="3324225" cy="14001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350312" cy="1411615"/>
                    </a:xfrm>
                    <a:prstGeom prst="rect">
                      <a:avLst/>
                    </a:prstGeom>
                    <a:noFill/>
                    <a:ln>
                      <a:noFill/>
                    </a:ln>
                  </pic:spPr>
                </pic:pic>
              </a:graphicData>
            </a:graphic>
          </wp:inline>
        </w:drawing>
      </w:r>
    </w:p>
    <w:p>
      <w:pPr>
        <w:jc w:val="center"/>
        <w:rPr>
          <w:color w:val="000000"/>
        </w:rPr>
      </w:pPr>
      <w:r>
        <w:rPr>
          <w:color w:val="000000"/>
        </w:rPr>
        <w:t>图6.2.2.2</w:t>
      </w:r>
      <w:r>
        <w:rPr>
          <w:rFonts w:hint="eastAsia"/>
          <w:color w:val="000000"/>
        </w:rPr>
        <w:t>（5）</w:t>
      </w:r>
    </w:p>
    <w:p>
      <w:pPr>
        <w:ind w:firstLine="420" w:firstLineChars="200"/>
        <w:rPr>
          <w:color w:val="000000"/>
        </w:rPr>
      </w:pPr>
      <w:r>
        <w:rPr>
          <w:color w:val="000000"/>
        </w:rPr>
        <w:t xml:space="preserve">6.2.2.3  </w:t>
      </w:r>
      <w:r>
        <w:rPr>
          <w:rFonts w:hint="eastAsia"/>
          <w:color w:val="000000"/>
        </w:rPr>
        <w:t>堪划</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hint="eastAsia" w:ascii="Times New Roman" w:eastAsia="宋体"/>
          <w:sz w:val="21"/>
          <w:szCs w:val="21"/>
          <w:shd w:val="clear" w:color="auto" w:fill="auto"/>
        </w:rPr>
        <w:t>（1）</w:t>
      </w:r>
      <w:r>
        <w:rPr>
          <w:rFonts w:ascii="Times New Roman" w:eastAsia="宋体"/>
          <w:sz w:val="21"/>
          <w:szCs w:val="21"/>
          <w:shd w:val="clear" w:color="auto" w:fill="auto"/>
        </w:rPr>
        <w:t>甲板线和载重线标志应永久性的勘划在船舷两侧，并应清晰可见。当船舷为暗色底时，应漆成白色或黄色；当船舷为浅色底时，应漆成黑色。</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hint="eastAsia" w:ascii="Times New Roman" w:eastAsia="宋体"/>
          <w:sz w:val="21"/>
          <w:szCs w:val="21"/>
          <w:shd w:val="clear" w:color="auto" w:fill="auto"/>
        </w:rPr>
        <w:t>（2）</w:t>
      </w:r>
      <w:r>
        <w:rPr>
          <w:rFonts w:ascii="Times New Roman" w:eastAsia="宋体"/>
          <w:sz w:val="21"/>
          <w:szCs w:val="21"/>
          <w:shd w:val="clear" w:color="auto" w:fill="auto"/>
        </w:rPr>
        <w:t>若甲板线勘划有困难，经</w:t>
      </w:r>
      <w:r>
        <w:rPr>
          <w:rFonts w:hint="eastAsia" w:ascii="Times New Roman" w:eastAsia="宋体"/>
          <w:sz w:val="21"/>
          <w:szCs w:val="21"/>
          <w:shd w:val="clear" w:color="auto" w:fill="auto"/>
        </w:rPr>
        <w:t>船舶检验具体实施机构</w:t>
      </w:r>
      <w:r>
        <w:rPr>
          <w:rFonts w:ascii="Times New Roman" w:eastAsia="宋体"/>
          <w:sz w:val="21"/>
          <w:szCs w:val="21"/>
          <w:shd w:val="clear" w:color="auto" w:fill="auto"/>
        </w:rPr>
        <w:t>同意可免于勘划，但应在船舶检验证书中注明。</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hint="eastAsia" w:ascii="Times New Roman" w:eastAsia="宋体"/>
          <w:sz w:val="21"/>
          <w:szCs w:val="21"/>
          <w:shd w:val="clear" w:color="auto" w:fill="auto"/>
        </w:rPr>
        <w:t>（3）</w:t>
      </w:r>
      <w:r>
        <w:rPr>
          <w:rFonts w:ascii="Times New Roman" w:eastAsia="宋体"/>
          <w:sz w:val="21"/>
          <w:szCs w:val="21"/>
          <w:shd w:val="clear" w:color="auto" w:fill="auto"/>
        </w:rPr>
        <w:t>若现有船勘划载重线标志有困难，经</w:t>
      </w:r>
      <w:r>
        <w:rPr>
          <w:rFonts w:hint="eastAsia" w:ascii="Times New Roman" w:eastAsia="宋体"/>
          <w:sz w:val="21"/>
          <w:szCs w:val="21"/>
          <w:shd w:val="clear" w:color="auto" w:fill="auto"/>
        </w:rPr>
        <w:t>船舶检验具体实施机构</w:t>
      </w:r>
      <w:r>
        <w:rPr>
          <w:rFonts w:ascii="Times New Roman" w:eastAsia="宋体"/>
          <w:sz w:val="21"/>
          <w:szCs w:val="21"/>
          <w:shd w:val="clear" w:color="auto" w:fill="auto"/>
        </w:rPr>
        <w:t>同意，可免于勘划，但应在船舶检验证书中注明。</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hint="eastAsia" w:ascii="Times New Roman" w:eastAsia="宋体"/>
          <w:sz w:val="21"/>
          <w:szCs w:val="21"/>
          <w:shd w:val="clear" w:color="auto" w:fill="auto"/>
        </w:rPr>
        <w:t>（4）</w:t>
      </w:r>
      <w:r>
        <w:rPr>
          <w:rFonts w:ascii="Times New Roman" w:eastAsia="宋体"/>
          <w:sz w:val="21"/>
          <w:szCs w:val="21"/>
          <w:shd w:val="clear" w:color="auto" w:fill="auto"/>
        </w:rPr>
        <w:t>船舶各种装载状态下的吃水应不超过勘定的航区载重线的上缘。</w:t>
      </w:r>
    </w:p>
    <w:p>
      <w:pPr>
        <w:ind w:firstLine="420" w:firstLineChars="200"/>
        <w:rPr>
          <w:color w:val="000000"/>
        </w:rPr>
      </w:pPr>
    </w:p>
    <w:p>
      <w:pPr>
        <w:ind w:firstLine="422" w:firstLineChars="200"/>
        <w:rPr>
          <w:b/>
          <w:bCs/>
          <w:color w:val="000000"/>
        </w:rPr>
      </w:pPr>
      <w:r>
        <w:rPr>
          <w:b/>
          <w:bCs/>
          <w:color w:val="000000"/>
        </w:rPr>
        <w:t>6.2.3</w:t>
      </w:r>
      <w:r>
        <w:rPr>
          <w:rFonts w:hint="eastAsia"/>
          <w:b/>
          <w:bCs/>
          <w:color w:val="000000"/>
        </w:rPr>
        <w:t xml:space="preserve"> </w:t>
      </w:r>
      <w:r>
        <w:rPr>
          <w:b/>
          <w:bCs/>
          <w:color w:val="000000"/>
        </w:rPr>
        <w:t xml:space="preserve"> 最小干舷</w:t>
      </w:r>
    </w:p>
    <w:p>
      <w:pPr>
        <w:ind w:firstLine="420"/>
        <w:rPr>
          <w:color w:val="000000"/>
        </w:rPr>
      </w:pPr>
      <w:r>
        <w:rPr>
          <w:color w:val="000000"/>
        </w:rPr>
        <w:t>6.2.3.1</w:t>
      </w:r>
      <w:r>
        <w:rPr>
          <w:rFonts w:hint="eastAsia"/>
          <w:color w:val="000000"/>
        </w:rPr>
        <w:t xml:space="preserve"> </w:t>
      </w:r>
      <w:r>
        <w:rPr>
          <w:color w:val="000000"/>
        </w:rPr>
        <w:t xml:space="preserve"> </w:t>
      </w:r>
      <w:r>
        <w:rPr>
          <w:rFonts w:hint="eastAsia"/>
          <w:color w:val="000000"/>
        </w:rPr>
        <w:t>船长小于12m海洋渔船</w:t>
      </w:r>
    </w:p>
    <w:p>
      <w:pPr>
        <w:ind w:firstLine="420"/>
        <w:rPr>
          <w:color w:val="000000"/>
        </w:rPr>
      </w:pPr>
      <w:r>
        <w:rPr>
          <w:rFonts w:hint="eastAsia"/>
          <w:color w:val="000000"/>
        </w:rPr>
        <w:t>（1）</w:t>
      </w:r>
      <w:r>
        <w:rPr>
          <w:color w:val="000000"/>
        </w:rPr>
        <w:t>船舶满载状态下沿船长任何位置甲板边缘至水线的垂直距离</w:t>
      </w:r>
      <w:r>
        <w:rPr>
          <w:i/>
          <w:color w:val="000000"/>
        </w:rPr>
        <w:t>F</w:t>
      </w:r>
      <w:r>
        <w:rPr>
          <w:color w:val="000000"/>
        </w:rPr>
        <w:t>应不小于按下式计算所得之值：</w:t>
      </w:r>
    </w:p>
    <w:p>
      <w:pPr>
        <w:ind w:firstLine="420"/>
        <w:jc w:val="center"/>
        <w:rPr>
          <w:color w:val="000000"/>
        </w:rPr>
      </w:pPr>
      <w:r>
        <w:rPr>
          <w:i/>
          <w:color w:val="000000"/>
        </w:rPr>
        <w:t>F</w:t>
      </w:r>
      <w:r>
        <w:rPr>
          <w:color w:val="000000"/>
        </w:rPr>
        <w:t>=200(</w:t>
      </w:r>
      <w:r>
        <w:rPr>
          <w:i/>
          <w:color w:val="000000"/>
        </w:rPr>
        <w:t>L</w:t>
      </w:r>
      <w:r>
        <w:rPr>
          <w:color w:val="000000"/>
        </w:rPr>
        <w:t xml:space="preserve"> – 7) / 11 + 200     mm</w:t>
      </w:r>
    </w:p>
    <w:p>
      <w:pPr>
        <w:ind w:firstLine="420"/>
        <w:rPr>
          <w:color w:val="000000"/>
        </w:rPr>
      </w:pPr>
      <w:r>
        <w:rPr>
          <w:rFonts w:hint="eastAsia"/>
          <w:color w:val="000000"/>
        </w:rPr>
        <w:t>（2）</w:t>
      </w:r>
      <w:r>
        <w:rPr>
          <w:color w:val="000000"/>
        </w:rPr>
        <w:t>核定的干舷最终值应不小于0.1</w:t>
      </w:r>
      <w:r>
        <w:rPr>
          <w:i/>
          <w:color w:val="000000"/>
        </w:rPr>
        <w:t>B</w:t>
      </w:r>
      <w:r>
        <w:rPr>
          <w:color w:val="000000"/>
        </w:rPr>
        <w:t>。</w:t>
      </w:r>
    </w:p>
    <w:p>
      <w:pPr>
        <w:ind w:firstLine="420"/>
        <w:rPr>
          <w:color w:val="000000"/>
        </w:rPr>
      </w:pPr>
      <w:r>
        <w:rPr>
          <w:color w:val="000000"/>
        </w:rPr>
        <w:t>6.2.3.2</w:t>
      </w:r>
      <w:r>
        <w:rPr>
          <w:rFonts w:hint="eastAsia"/>
          <w:color w:val="000000"/>
        </w:rPr>
        <w:t xml:space="preserve"> </w:t>
      </w:r>
      <w:r>
        <w:rPr>
          <w:color w:val="000000"/>
        </w:rPr>
        <w:t xml:space="preserve"> </w:t>
      </w:r>
      <w:r>
        <w:rPr>
          <w:rFonts w:hint="eastAsia"/>
          <w:color w:val="000000"/>
        </w:rPr>
        <w:t>船长小于12m内河渔船</w:t>
      </w:r>
    </w:p>
    <w:p>
      <w:pPr>
        <w:ind w:firstLine="420"/>
        <w:rPr>
          <w:color w:val="000000"/>
        </w:rPr>
      </w:pPr>
      <w:r>
        <w:rPr>
          <w:rFonts w:hint="eastAsia"/>
          <w:color w:val="000000"/>
        </w:rPr>
        <w:t>（1）</w:t>
      </w:r>
      <w:r>
        <w:rPr>
          <w:color w:val="000000"/>
        </w:rPr>
        <w:t>船舶最小干舷</w:t>
      </w:r>
      <w:r>
        <w:rPr>
          <w:i/>
          <w:color w:val="000000"/>
        </w:rPr>
        <w:t>F</w:t>
      </w:r>
      <w:r>
        <w:rPr>
          <w:color w:val="000000"/>
        </w:rPr>
        <w:t>应不小于表6.2.3.2所列之值：</w:t>
      </w:r>
    </w:p>
    <w:p>
      <w:pPr>
        <w:wordWrap w:val="0"/>
        <w:adjustRightInd w:val="0"/>
        <w:snapToGrid w:val="0"/>
        <w:spacing w:line="320" w:lineRule="atLeast"/>
        <w:ind w:left="420" w:leftChars="200" w:firstLine="317" w:firstLineChars="151"/>
        <w:jc w:val="right"/>
        <w:rPr>
          <w:rFonts w:eastAsia="黑体"/>
          <w:szCs w:val="21"/>
        </w:rPr>
      </w:pPr>
      <w:r>
        <w:rPr>
          <w:rFonts w:hint="eastAsia" w:eastAsia="黑体"/>
          <w:szCs w:val="21"/>
        </w:rPr>
        <w:t>船长小于12m内河渔船最小</w:t>
      </w:r>
      <w:r>
        <w:rPr>
          <w:rFonts w:eastAsia="黑体"/>
          <w:szCs w:val="21"/>
        </w:rPr>
        <w:t>干舷</w:t>
      </w:r>
      <w:r>
        <w:rPr>
          <w:rFonts w:hint="eastAsia" w:eastAsia="黑体"/>
          <w:szCs w:val="21"/>
        </w:rPr>
        <w:t xml:space="preserve">  </w:t>
      </w:r>
      <w:r>
        <w:rPr>
          <w:rFonts w:eastAsia="黑体"/>
          <w:szCs w:val="21"/>
        </w:rPr>
        <w:t xml:space="preserve">                    表6.2.3.2</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color w:val="000000"/>
              </w:rPr>
            </w:pPr>
            <w:r>
              <w:rPr>
                <w:color w:val="000000"/>
              </w:rPr>
              <w:t>航区（段）</w:t>
            </w:r>
          </w:p>
        </w:tc>
        <w:tc>
          <w:tcPr>
            <w:tcW w:w="1704" w:type="dxa"/>
            <w:vAlign w:val="center"/>
          </w:tcPr>
          <w:p>
            <w:pPr>
              <w:jc w:val="center"/>
              <w:rPr>
                <w:color w:val="000000"/>
              </w:rPr>
            </w:pPr>
            <w:r>
              <w:rPr>
                <w:color w:val="000000"/>
              </w:rPr>
              <w:t>A</w:t>
            </w:r>
          </w:p>
        </w:tc>
        <w:tc>
          <w:tcPr>
            <w:tcW w:w="1704" w:type="dxa"/>
            <w:vAlign w:val="center"/>
          </w:tcPr>
          <w:p>
            <w:pPr>
              <w:jc w:val="center"/>
              <w:rPr>
                <w:color w:val="000000"/>
              </w:rPr>
            </w:pPr>
            <w:r>
              <w:rPr>
                <w:color w:val="000000"/>
              </w:rPr>
              <w:t>B</w:t>
            </w:r>
          </w:p>
        </w:tc>
        <w:tc>
          <w:tcPr>
            <w:tcW w:w="1705" w:type="dxa"/>
            <w:vAlign w:val="center"/>
          </w:tcPr>
          <w:p>
            <w:pPr>
              <w:jc w:val="center"/>
              <w:rPr>
                <w:color w:val="000000"/>
              </w:rPr>
            </w:pPr>
            <w:r>
              <w:rPr>
                <w:color w:val="000000"/>
              </w:rPr>
              <w:t>C</w:t>
            </w:r>
          </w:p>
        </w:tc>
        <w:tc>
          <w:tcPr>
            <w:tcW w:w="1705" w:type="dxa"/>
            <w:vAlign w:val="center"/>
          </w:tcPr>
          <w:p>
            <w:pPr>
              <w:jc w:val="center"/>
              <w:rPr>
                <w:color w:val="000000"/>
              </w:rPr>
            </w:pPr>
            <w:r>
              <w:rPr>
                <w:color w:val="000000"/>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color w:val="000000"/>
              </w:rPr>
            </w:pPr>
            <w:r>
              <w:rPr>
                <w:color w:val="000000"/>
              </w:rPr>
              <w:t>最小干舷(mm)</w:t>
            </w:r>
          </w:p>
        </w:tc>
        <w:tc>
          <w:tcPr>
            <w:tcW w:w="1704" w:type="dxa"/>
            <w:vAlign w:val="center"/>
          </w:tcPr>
          <w:p>
            <w:pPr>
              <w:jc w:val="center"/>
              <w:rPr>
                <w:color w:val="000000"/>
              </w:rPr>
            </w:pPr>
            <w:r>
              <w:rPr>
                <w:color w:val="000000"/>
              </w:rPr>
              <w:t>200</w:t>
            </w:r>
          </w:p>
        </w:tc>
        <w:tc>
          <w:tcPr>
            <w:tcW w:w="1704" w:type="dxa"/>
            <w:vAlign w:val="center"/>
          </w:tcPr>
          <w:p>
            <w:pPr>
              <w:jc w:val="center"/>
              <w:rPr>
                <w:color w:val="000000"/>
              </w:rPr>
            </w:pPr>
            <w:r>
              <w:rPr>
                <w:color w:val="000000"/>
              </w:rPr>
              <w:t>150</w:t>
            </w:r>
          </w:p>
        </w:tc>
        <w:tc>
          <w:tcPr>
            <w:tcW w:w="1705" w:type="dxa"/>
            <w:vAlign w:val="center"/>
          </w:tcPr>
          <w:p>
            <w:pPr>
              <w:jc w:val="center"/>
              <w:rPr>
                <w:color w:val="000000"/>
              </w:rPr>
            </w:pPr>
            <w:r>
              <w:rPr>
                <w:color w:val="000000"/>
              </w:rPr>
              <w:t>100</w:t>
            </w:r>
          </w:p>
        </w:tc>
        <w:tc>
          <w:tcPr>
            <w:tcW w:w="1705" w:type="dxa"/>
            <w:vAlign w:val="center"/>
          </w:tcPr>
          <w:p>
            <w:pPr>
              <w:jc w:val="center"/>
              <w:rPr>
                <w:color w:val="000000"/>
              </w:rPr>
            </w:pPr>
            <w:r>
              <w:rPr>
                <w:color w:val="000000"/>
              </w:rPr>
              <w:t>200</w:t>
            </w:r>
          </w:p>
        </w:tc>
      </w:tr>
    </w:tbl>
    <w:p>
      <w:pPr>
        <w:ind w:firstLine="420" w:firstLineChars="200"/>
        <w:rPr>
          <w:color w:val="000000"/>
        </w:rPr>
      </w:pPr>
      <w:r>
        <w:rPr>
          <w:rFonts w:hint="eastAsia"/>
          <w:color w:val="000000"/>
        </w:rPr>
        <w:t>（2）</w:t>
      </w:r>
      <w:r>
        <w:rPr>
          <w:color w:val="000000"/>
        </w:rPr>
        <w:t>当船舶舱口盖和门窗不能有效地阻止水进入船体时，干舷应较6.2.3.1</w:t>
      </w:r>
      <w:r>
        <w:rPr>
          <w:rFonts w:hint="eastAsia"/>
          <w:color w:val="000000"/>
        </w:rPr>
        <w:t>（1）</w:t>
      </w:r>
      <w:r>
        <w:rPr>
          <w:color w:val="000000"/>
        </w:rPr>
        <w:t>的要求值至少增加50mm。</w:t>
      </w:r>
    </w:p>
    <w:p>
      <w:pPr>
        <w:adjustRightInd w:val="0"/>
        <w:snapToGrid w:val="0"/>
        <w:ind w:firstLine="420" w:firstLineChars="200"/>
        <w:rPr>
          <w:bCs/>
        </w:rPr>
      </w:pPr>
    </w:p>
    <w:p>
      <w:pPr>
        <w:adjustRightInd w:val="0"/>
        <w:snapToGrid w:val="0"/>
        <w:ind w:firstLine="422" w:firstLineChars="200"/>
        <w:rPr>
          <w:b/>
          <w:bCs/>
        </w:rPr>
      </w:pPr>
      <w:r>
        <w:rPr>
          <w:b/>
          <w:bCs/>
        </w:rPr>
        <w:t>6.2.4  排水舷口</w:t>
      </w:r>
    </w:p>
    <w:p>
      <w:pPr>
        <w:adjustRightInd w:val="0"/>
        <w:snapToGrid w:val="0"/>
        <w:ind w:firstLine="420" w:firstLineChars="200"/>
      </w:pPr>
      <w:r>
        <w:t>6.2.4.1  每舷的连续舷墙上都应开有排水舷口，排水舷口的下缘应尽可能接近甲板。</w:t>
      </w:r>
    </w:p>
    <w:p>
      <w:pPr>
        <w:adjustRightInd w:val="0"/>
        <w:snapToGrid w:val="0"/>
        <w:ind w:firstLine="420" w:firstLineChars="200"/>
      </w:pPr>
      <w:r>
        <w:t>6.2.4.2  每舷的排水舷口面积</w:t>
      </w:r>
      <w:r>
        <w:rPr>
          <w:i/>
        </w:rPr>
        <w:t>A</w:t>
      </w:r>
      <w:r>
        <w:t>应不小于0.0115</w:t>
      </w:r>
      <w:r>
        <w:rPr>
          <w:i/>
        </w:rPr>
        <w:t>L</w:t>
      </w:r>
      <w:r>
        <w:t>m</w:t>
      </w:r>
      <w:r>
        <w:rPr>
          <w:vertAlign w:val="superscript"/>
        </w:rPr>
        <w:t>2</w:t>
      </w:r>
      <w:r>
        <w:t>。</w:t>
      </w:r>
    </w:p>
    <w:p>
      <w:pPr>
        <w:adjustRightInd w:val="0"/>
        <w:snapToGrid w:val="0"/>
        <w:ind w:firstLine="420" w:firstLineChars="200"/>
      </w:pPr>
      <w:r>
        <w:t>6.2.4.3  所需排水舷面积的2/3应分布在船中前、后各0.2</w:t>
      </w:r>
      <w:r>
        <w:rPr>
          <w:i/>
        </w:rPr>
        <w:t>L</w:t>
      </w:r>
      <w:r>
        <w:t>长度范围内的舷墙上。</w:t>
      </w:r>
    </w:p>
    <w:p>
      <w:pPr>
        <w:adjustRightInd w:val="0"/>
        <w:snapToGrid w:val="0"/>
        <w:ind w:firstLine="420" w:firstLineChars="200"/>
      </w:pPr>
      <w:r>
        <w:t>6.2.4.4  甲板上拦鱼板和渔具的使用和堆放，均不应影响排水舷口的效能或引起甲板积水。</w:t>
      </w:r>
    </w:p>
    <w:p>
      <w:pPr>
        <w:adjustRightInd w:val="0"/>
        <w:snapToGrid w:val="0"/>
        <w:ind w:firstLine="422" w:firstLineChars="200"/>
        <w:rPr>
          <w:b/>
          <w:bCs/>
        </w:rPr>
      </w:pPr>
      <w:r>
        <w:rPr>
          <w:b/>
          <w:bCs/>
        </w:rPr>
        <w:t>6.2.5  人员保护</w:t>
      </w:r>
    </w:p>
    <w:p>
      <w:pPr>
        <w:adjustRightInd w:val="0"/>
        <w:snapToGrid w:val="0"/>
        <w:ind w:firstLine="420" w:firstLineChars="200"/>
      </w:pPr>
      <w:r>
        <w:t>6.2.5.1  人员可能行走的所有甲板区域和出入通道处均应设置适当高度的舷墙、栏杆、扶手或其他有效的防护设施。栏杆、扶手安装应牢靠，且不影响船体的水密。</w:t>
      </w:r>
    </w:p>
    <w:p>
      <w:pPr>
        <w:adjustRightInd w:val="0"/>
        <w:snapToGrid w:val="0"/>
        <w:ind w:firstLine="420" w:firstLineChars="200"/>
      </w:pPr>
      <w:r>
        <w:t>6.2.5.2  在人员可能行走且易于上水的表面应涂以防滑涂料或采取其他防滑措施。</w:t>
      </w:r>
    </w:p>
    <w:p>
      <w:pPr>
        <w:adjustRightInd w:val="0"/>
        <w:snapToGrid w:val="0"/>
        <w:ind w:firstLine="422" w:firstLineChars="200"/>
        <w:rPr>
          <w:b/>
          <w:bCs/>
        </w:rPr>
      </w:pPr>
    </w:p>
    <w:p>
      <w:pPr>
        <w:adjustRightInd w:val="0"/>
        <w:snapToGrid w:val="0"/>
        <w:ind w:firstLine="422" w:firstLineChars="200"/>
        <w:rPr>
          <w:b/>
          <w:bCs/>
        </w:rPr>
      </w:pPr>
      <w:r>
        <w:rPr>
          <w:b/>
          <w:bCs/>
        </w:rPr>
        <w:t xml:space="preserve">6.2.6  </w:t>
      </w:r>
      <w:r>
        <w:rPr>
          <w:rFonts w:hint="eastAsia"/>
          <w:b/>
          <w:bCs/>
        </w:rPr>
        <w:t>船长小于12m海洋渔船</w:t>
      </w:r>
      <w:r>
        <w:rPr>
          <w:b/>
          <w:bCs/>
        </w:rPr>
        <w:t>附加要求</w:t>
      </w:r>
    </w:p>
    <w:p>
      <w:pPr>
        <w:adjustRightInd w:val="0"/>
        <w:snapToGrid w:val="0"/>
        <w:ind w:firstLine="420" w:firstLineChars="200"/>
      </w:pPr>
      <w:r>
        <w:t>6.2.6.1  干舷甲板上露天舱口盖的舱口围板高度一般应不小于150mm。舱口盖的结构强度应与其相邻结构的强度相当，且应保持风雨密。航行、作业中永久关闭者，可不受此限。</w:t>
      </w:r>
    </w:p>
    <w:p>
      <w:pPr>
        <w:adjustRightInd w:val="0"/>
        <w:snapToGrid w:val="0"/>
        <w:ind w:firstLine="420" w:firstLineChars="200"/>
      </w:pPr>
      <w:r>
        <w:t>6.2.6.2  位于上层建筑内的舱口围板高度一般应不小于50mm。</w:t>
      </w:r>
    </w:p>
    <w:p>
      <w:pPr>
        <w:adjustRightInd w:val="0"/>
        <w:snapToGrid w:val="0"/>
        <w:ind w:firstLine="420" w:firstLineChars="200"/>
      </w:pPr>
      <w:r>
        <w:t>6.2.6.3  上层建筑和甲板室的外部开口（包括门、窗、盖）均应有风雨密关闭装置。</w:t>
      </w:r>
    </w:p>
    <w:p>
      <w:pPr>
        <w:adjustRightInd w:val="0"/>
        <w:snapToGrid w:val="0"/>
        <w:ind w:firstLine="420" w:firstLineChars="200"/>
      </w:pPr>
      <w:r>
        <w:t>6.2.6.4  所有要求风雨密的外门和要求水密的内门，其强度均应与其邻近的舱壁相当。外门开启方向应为外开式，便于逃生。</w:t>
      </w:r>
    </w:p>
    <w:p>
      <w:pPr>
        <w:adjustRightInd w:val="0"/>
        <w:snapToGrid w:val="0"/>
        <w:ind w:firstLine="420" w:firstLineChars="200"/>
      </w:pPr>
      <w:r>
        <w:t>6.2.6.5  外门门槛高度一般应不低于150mm，露天甲板机舱棚直通下层机舱的外门门槛高度应不低于180mm。</w:t>
      </w:r>
    </w:p>
    <w:p>
      <w:pPr>
        <w:adjustRightInd w:val="0"/>
        <w:snapToGrid w:val="0"/>
        <w:ind w:firstLine="420" w:firstLineChars="200"/>
      </w:pPr>
      <w:r>
        <w:t>6.2.6.6  所有窗的框架及窗盖应以铜、钢或其他等效材料制成。上层建造及甲板室的外窗玻璃应采用钢化玻璃或聚碳酸</w:t>
      </w:r>
      <w:r>
        <w:rPr>
          <w:rFonts w:hint="eastAsia"/>
        </w:rPr>
        <w:t>酯</w:t>
      </w:r>
      <w:bookmarkStart w:id="98" w:name="_GoBack"/>
      <w:bookmarkEnd w:id="98"/>
      <w:r>
        <w:t>玻璃等材料。外窗的下缘离该处满载水线的高度不得小于500mm。外窗玻璃与窗框的连接、窗框与壁板的连接应牢固、可靠，足以承受船在正常航行作业时可能遭遇的水浪冲击。</w:t>
      </w:r>
    </w:p>
    <w:p>
      <w:pPr>
        <w:adjustRightInd w:val="0"/>
        <w:snapToGrid w:val="0"/>
        <w:ind w:firstLine="420" w:firstLineChars="200"/>
      </w:pPr>
      <w:r>
        <w:t xml:space="preserve">6.2.6.7  </w:t>
      </w:r>
      <w:r>
        <w:rPr>
          <w:rFonts w:hint="eastAsia"/>
        </w:rPr>
        <w:t>任何</w:t>
      </w:r>
      <w:r>
        <w:t>有可能导致明显进水，影响船的浮性和稳性的开口应采取关闭措施或选择合适的不易上浪的安装位置避免进水。</w:t>
      </w:r>
    </w:p>
    <w:p>
      <w:pPr>
        <w:adjustRightInd w:val="0"/>
        <w:snapToGrid w:val="0"/>
        <w:ind w:firstLine="420" w:firstLineChars="200"/>
      </w:pPr>
    </w:p>
    <w:p>
      <w:pPr>
        <w:pStyle w:val="45"/>
        <w:adjustRightInd w:val="0"/>
        <w:snapToGrid w:val="0"/>
        <w:spacing w:line="320" w:lineRule="atLeast"/>
        <w:ind w:firstLine="426" w:firstLineChars="202"/>
        <w:rPr>
          <w:rFonts w:ascii="Times New Roman" w:eastAsia="宋体"/>
          <w:sz w:val="21"/>
          <w:szCs w:val="21"/>
          <w:shd w:val="clear" w:color="auto" w:fill="auto"/>
        </w:rPr>
      </w:pPr>
      <w:r>
        <w:rPr>
          <w:rFonts w:ascii="Times New Roman" w:eastAsia="宋体"/>
          <w:b/>
          <w:bCs/>
          <w:sz w:val="21"/>
          <w:szCs w:val="21"/>
          <w:shd w:val="clear" w:color="auto" w:fill="auto"/>
        </w:rPr>
        <w:t xml:space="preserve">6.2.7  </w:t>
      </w:r>
      <w:r>
        <w:rPr>
          <w:rFonts w:hint="eastAsia" w:ascii="Times New Roman" w:eastAsia="宋体"/>
          <w:b/>
          <w:bCs/>
          <w:sz w:val="21"/>
          <w:szCs w:val="21"/>
          <w:shd w:val="clear" w:color="auto" w:fill="auto"/>
        </w:rPr>
        <w:t>高速船</w:t>
      </w:r>
      <w:r>
        <w:rPr>
          <w:rFonts w:ascii="Times New Roman" w:eastAsia="宋体"/>
          <w:b/>
          <w:bCs/>
          <w:sz w:val="21"/>
          <w:szCs w:val="21"/>
          <w:shd w:val="clear" w:color="auto" w:fill="auto"/>
        </w:rPr>
        <w:t>的</w:t>
      </w:r>
      <w:r>
        <w:rPr>
          <w:rFonts w:hint="eastAsia" w:ascii="Times New Roman" w:eastAsia="宋体"/>
          <w:b/>
          <w:bCs/>
          <w:sz w:val="21"/>
          <w:szCs w:val="21"/>
          <w:shd w:val="clear" w:color="auto" w:fill="auto"/>
        </w:rPr>
        <w:t>特殊</w:t>
      </w:r>
      <w:r>
        <w:rPr>
          <w:rFonts w:ascii="Times New Roman" w:eastAsia="宋体"/>
          <w:b/>
          <w:bCs/>
          <w:sz w:val="21"/>
          <w:szCs w:val="21"/>
          <w:shd w:val="clear" w:color="auto" w:fill="auto"/>
        </w:rPr>
        <w:t>规定</w:t>
      </w:r>
    </w:p>
    <w:p>
      <w:pPr>
        <w:adjustRightInd w:val="0"/>
        <w:snapToGrid w:val="0"/>
        <w:ind w:firstLine="420" w:firstLineChars="200"/>
      </w:pPr>
      <w:r>
        <w:t>6.2.7.1  高速船</w:t>
      </w:r>
      <w:r>
        <w:rPr>
          <w:rFonts w:hint="eastAsia"/>
        </w:rPr>
        <w:t>的</w:t>
      </w:r>
      <w:r>
        <w:t>储备浮力应满足以下要求：</w:t>
      </w:r>
    </w:p>
    <w:p>
      <w:pPr>
        <w:adjustRightInd w:val="0"/>
        <w:snapToGrid w:val="0"/>
        <w:ind w:firstLine="420" w:firstLineChars="200"/>
      </w:pPr>
      <w:r>
        <w:rPr>
          <w:rFonts w:hint="eastAsia"/>
        </w:rPr>
        <w:t>（1）</w:t>
      </w:r>
      <w:r>
        <w:t>甲板</w:t>
      </w:r>
      <w:r>
        <w:rPr>
          <w:rFonts w:hint="eastAsia"/>
        </w:rPr>
        <w:t>船</w:t>
      </w:r>
      <w:r>
        <w:t>的储备浮力应不小于100%满载排水量。储备浮力为静浮满载水线至干舷甲板垂向范围内所有海水不能进入的处所的总容积乘以海水的密度。</w:t>
      </w:r>
    </w:p>
    <w:p>
      <w:pPr>
        <w:adjustRightInd w:val="0"/>
        <w:snapToGrid w:val="0"/>
        <w:ind w:firstLine="420" w:firstLineChars="200"/>
      </w:pPr>
      <w:r>
        <w:rPr>
          <w:rFonts w:hint="eastAsia"/>
        </w:rPr>
        <w:t>（2）敞口船</w:t>
      </w:r>
      <w:r>
        <w:t>的储备浮力应满足不沉性的要求。</w:t>
      </w:r>
      <w:r>
        <w:rPr>
          <w:rFonts w:hint="eastAsia"/>
        </w:rPr>
        <w:t>敞口船</w:t>
      </w:r>
      <w:r>
        <w:t>可用在</w:t>
      </w:r>
      <w:r>
        <w:rPr>
          <w:rFonts w:hint="eastAsia"/>
        </w:rPr>
        <w:t>船</w:t>
      </w:r>
      <w:r>
        <w:t>体内部设置浮力体的方法获取储备浮力。通常采用充填发泡塑料作为浮力体，但发泡塑料应为封闭型，不吸水。浮力体应永久性固定在</w:t>
      </w:r>
      <w:r>
        <w:rPr>
          <w:rFonts w:hint="eastAsia"/>
        </w:rPr>
        <w:t>船</w:t>
      </w:r>
      <w:r>
        <w:t>底、舷侧或防撞舱内，且不至受到机械损伤和化学侵蚀。</w:t>
      </w:r>
    </w:p>
    <w:p>
      <w:pPr>
        <w:adjustRightInd w:val="0"/>
        <w:snapToGrid w:val="0"/>
        <w:ind w:firstLine="420" w:firstLineChars="200"/>
      </w:pPr>
      <w:r>
        <w:rPr>
          <w:rFonts w:hint="eastAsia"/>
        </w:rPr>
        <w:t>（3）</w:t>
      </w:r>
      <w:r>
        <w:t>储备浮力的计算可按公认的方法进行。</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ascii="Times New Roman" w:eastAsia="宋体"/>
          <w:sz w:val="21"/>
          <w:szCs w:val="21"/>
          <w:shd w:val="clear" w:color="auto" w:fill="auto"/>
        </w:rPr>
        <w:t>6.2.7.2  高速船</w:t>
      </w:r>
      <w:r>
        <w:rPr>
          <w:rFonts w:hint="eastAsia" w:ascii="Times New Roman" w:eastAsia="宋体"/>
          <w:sz w:val="21"/>
          <w:szCs w:val="21"/>
          <w:shd w:val="clear" w:color="auto" w:fill="auto"/>
        </w:rPr>
        <w:t>的</w:t>
      </w:r>
      <w:r>
        <w:rPr>
          <w:rFonts w:ascii="Times New Roman" w:eastAsia="宋体"/>
          <w:sz w:val="21"/>
          <w:szCs w:val="21"/>
          <w:shd w:val="clear" w:color="auto" w:fill="auto"/>
        </w:rPr>
        <w:t>船首甲板最高处离满载水线的高度</w:t>
      </w:r>
      <w:r>
        <w:rPr>
          <w:rFonts w:ascii="Times New Roman" w:eastAsia="宋体"/>
          <w:i/>
          <w:sz w:val="21"/>
          <w:szCs w:val="21"/>
          <w:shd w:val="clear" w:color="auto" w:fill="auto"/>
        </w:rPr>
        <w:t>F</w:t>
      </w:r>
      <w:r>
        <w:rPr>
          <w:rFonts w:ascii="Times New Roman" w:eastAsia="宋体"/>
          <w:i/>
          <w:sz w:val="21"/>
          <w:szCs w:val="21"/>
          <w:shd w:val="clear" w:color="auto" w:fill="auto"/>
          <w:vertAlign w:val="subscript"/>
        </w:rPr>
        <w:t>b</w:t>
      </w:r>
      <w:r>
        <w:rPr>
          <w:rFonts w:ascii="Times New Roman" w:eastAsia="宋体"/>
          <w:sz w:val="21"/>
          <w:szCs w:val="21"/>
          <w:shd w:val="clear" w:color="auto" w:fill="auto"/>
        </w:rPr>
        <w:t>应不小于按下式计算所得之值：</w:t>
      </w:r>
    </w:p>
    <w:p>
      <w:pPr>
        <w:pStyle w:val="45"/>
        <w:adjustRightInd w:val="0"/>
        <w:snapToGrid w:val="0"/>
        <w:spacing w:line="320" w:lineRule="atLeast"/>
        <w:ind w:firstLine="424" w:firstLineChars="202"/>
        <w:jc w:val="center"/>
        <w:rPr>
          <w:rFonts w:ascii="Times New Roman" w:eastAsia="宋体"/>
          <w:sz w:val="21"/>
          <w:szCs w:val="21"/>
          <w:shd w:val="clear" w:color="auto" w:fill="auto"/>
        </w:rPr>
      </w:pPr>
      <w:r>
        <w:rPr>
          <w:rFonts w:hint="eastAsia" w:ascii="Times New Roman" w:eastAsia="宋体"/>
          <w:i/>
          <w:sz w:val="21"/>
          <w:szCs w:val="21"/>
          <w:shd w:val="clear" w:color="auto" w:fill="auto"/>
        </w:rPr>
        <w:t>F</w:t>
      </w:r>
      <w:r>
        <w:rPr>
          <w:rFonts w:hint="eastAsia" w:ascii="Times New Roman" w:eastAsia="宋体"/>
          <w:i/>
          <w:sz w:val="21"/>
          <w:szCs w:val="21"/>
          <w:shd w:val="clear" w:color="auto" w:fill="auto"/>
          <w:vertAlign w:val="subscript"/>
        </w:rPr>
        <w:t xml:space="preserve">b </w:t>
      </w:r>
      <w:r>
        <w:rPr>
          <w:rFonts w:ascii="Times New Roman" w:eastAsia="宋体"/>
          <w:sz w:val="21"/>
          <w:szCs w:val="21"/>
          <w:shd w:val="clear" w:color="auto" w:fill="auto"/>
        </w:rPr>
        <w:t>=</w:t>
      </w:r>
      <w:r>
        <w:rPr>
          <w:rFonts w:hint="eastAsia" w:ascii="Times New Roman" w:eastAsia="宋体"/>
          <w:sz w:val="21"/>
          <w:szCs w:val="21"/>
          <w:shd w:val="clear" w:color="auto" w:fill="auto"/>
        </w:rPr>
        <w:t>1000</w:t>
      </w:r>
      <w:r>
        <w:rPr>
          <w:rFonts w:ascii="Times New Roman" w:eastAsia="宋体"/>
          <w:position w:val="-28"/>
          <w:sz w:val="21"/>
          <w:szCs w:val="21"/>
          <w:shd w:val="clear" w:color="auto" w:fill="auto"/>
        </w:rPr>
        <w:object>
          <v:shape id="_x0000_i1033" o:spt="75" type="#_x0000_t75" style="height:36.7pt;width:38.05pt;" o:ole="t" filled="f" o:preferrelative="t" stroked="f" coordsize="21600,21600">
            <v:path/>
            <v:fill on="f" focussize="0,0"/>
            <v:stroke on="f" joinstyle="miter"/>
            <v:imagedata r:id="rId31" o:title=""/>
            <o:lock v:ext="edit" aspectratio="t"/>
            <w10:wrap type="none"/>
            <w10:anchorlock/>
          </v:shape>
          <o:OLEObject Type="Embed" ProgID="Equation.KSEE3" ShapeID="_x0000_i1033" DrawAspect="Content" ObjectID="_1468075731" r:id="rId30">
            <o:LockedField>false</o:LockedField>
          </o:OLEObject>
        </w:object>
      </w:r>
      <w:r>
        <w:rPr>
          <w:rFonts w:ascii="Times New Roman" w:eastAsia="宋体"/>
          <w:position w:val="-30"/>
          <w:sz w:val="21"/>
          <w:szCs w:val="21"/>
          <w:shd w:val="clear" w:color="auto" w:fill="auto"/>
        </w:rPr>
        <w:object>
          <v:shape id="_x0000_i1034" o:spt="75" type="#_x0000_t75" style="height:33.95pt;width:50.25pt;" o:ole="t" filled="f" o:preferrelative="t" stroked="f" coordsize="21600,21600">
            <v:path/>
            <v:fill on="f" focussize="0,0"/>
            <v:stroke on="f" joinstyle="miter"/>
            <v:imagedata r:id="rId33" o:title=""/>
            <o:lock v:ext="edit" aspectratio="t"/>
            <w10:wrap type="none"/>
            <w10:anchorlock/>
          </v:shape>
          <o:OLEObject Type="Embed" ProgID="Equation.KSEE3" ShapeID="_x0000_i1034" DrawAspect="Content" ObjectID="_1468075732" r:id="rId32">
            <o:LockedField>false</o:LockedField>
          </o:OLEObject>
        </w:object>
      </w:r>
      <w:r>
        <w:rPr>
          <w:rFonts w:hint="eastAsia" w:ascii="Times New Roman" w:eastAsia="宋体"/>
          <w:i/>
          <w:sz w:val="21"/>
          <w:szCs w:val="21"/>
          <w:shd w:val="clear" w:color="auto" w:fill="auto"/>
        </w:rPr>
        <w:t xml:space="preserve">k </w:t>
      </w:r>
      <w:r>
        <w:rPr>
          <w:rFonts w:hint="eastAsia" w:ascii="Times New Roman" w:eastAsia="宋体"/>
          <w:sz w:val="21"/>
          <w:szCs w:val="21"/>
          <w:shd w:val="clear" w:color="auto" w:fill="auto"/>
        </w:rPr>
        <w:t xml:space="preserve">  mm</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ascii="Times New Roman" w:eastAsia="宋体"/>
          <w:sz w:val="21"/>
          <w:szCs w:val="21"/>
          <w:shd w:val="clear" w:color="auto" w:fill="auto"/>
        </w:rPr>
        <w:t>式中：</w:t>
      </w:r>
      <w:r>
        <w:rPr>
          <w:rFonts w:ascii="Times New Roman" w:eastAsia="宋体"/>
          <w:i/>
          <w:sz w:val="21"/>
          <w:szCs w:val="21"/>
          <w:shd w:val="clear" w:color="auto" w:fill="auto"/>
        </w:rPr>
        <w:t>L</w:t>
      </w:r>
      <w:r>
        <w:rPr>
          <w:rFonts w:hint="eastAsia"/>
          <w:shd w:val="clear" w:color="auto" w:fill="auto"/>
        </w:rPr>
        <w:t>—</w:t>
      </w:r>
      <w:r>
        <w:rPr>
          <w:rFonts w:ascii="Times New Roman" w:eastAsia="宋体"/>
          <w:sz w:val="21"/>
          <w:szCs w:val="21"/>
          <w:shd w:val="clear" w:color="auto" w:fill="auto"/>
        </w:rPr>
        <w:t>船长，m；</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ascii="Times New Roman" w:eastAsia="宋体"/>
          <w:sz w:val="21"/>
          <w:szCs w:val="21"/>
          <w:shd w:val="clear" w:color="auto" w:fill="auto"/>
        </w:rPr>
        <w:t xml:space="preserve">     </w:t>
      </w:r>
      <w:r>
        <w:rPr>
          <w:rFonts w:ascii="Times New Roman" w:eastAsia="宋体"/>
          <w:i/>
          <w:sz w:val="21"/>
          <w:szCs w:val="21"/>
          <w:shd w:val="clear" w:color="auto" w:fill="auto"/>
        </w:rPr>
        <w:t xml:space="preserve"> C</w:t>
      </w:r>
      <w:r>
        <w:rPr>
          <w:rFonts w:ascii="Times New Roman" w:eastAsia="宋体"/>
          <w:i/>
          <w:sz w:val="21"/>
          <w:szCs w:val="21"/>
          <w:shd w:val="clear" w:color="auto" w:fill="auto"/>
          <w:vertAlign w:val="subscript"/>
        </w:rPr>
        <w:t>b</w:t>
      </w:r>
      <w:r>
        <w:rPr>
          <w:rFonts w:hint="eastAsia"/>
          <w:color w:val="000000"/>
          <w:kern w:val="0"/>
          <w:szCs w:val="21"/>
          <w:shd w:val="clear" w:color="auto" w:fill="auto"/>
        </w:rPr>
        <w:t>—</w:t>
      </w:r>
      <w:r>
        <w:rPr>
          <w:rFonts w:ascii="Times New Roman" w:eastAsia="宋体"/>
          <w:sz w:val="21"/>
          <w:szCs w:val="21"/>
          <w:shd w:val="clear" w:color="auto" w:fill="auto"/>
        </w:rPr>
        <w:t>方形系数；</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ascii="Times New Roman" w:eastAsia="宋体"/>
          <w:sz w:val="21"/>
          <w:szCs w:val="21"/>
          <w:shd w:val="clear" w:color="auto" w:fill="auto"/>
        </w:rPr>
        <w:t xml:space="preserve">      </w:t>
      </w:r>
      <w:r>
        <w:rPr>
          <w:rFonts w:ascii="Times New Roman" w:eastAsia="宋体"/>
          <w:i/>
          <w:sz w:val="21"/>
          <w:szCs w:val="21"/>
          <w:shd w:val="clear" w:color="auto" w:fill="auto"/>
        </w:rPr>
        <w:t>k</w:t>
      </w:r>
      <w:r>
        <w:rPr>
          <w:rFonts w:hint="eastAsia"/>
          <w:color w:val="000000"/>
          <w:kern w:val="0"/>
          <w:szCs w:val="21"/>
          <w:shd w:val="clear" w:color="auto" w:fill="auto"/>
        </w:rPr>
        <w:t>—</w:t>
      </w:r>
      <w:r>
        <w:rPr>
          <w:rFonts w:ascii="Times New Roman" w:eastAsia="宋体"/>
          <w:sz w:val="21"/>
          <w:szCs w:val="21"/>
          <w:shd w:val="clear" w:color="auto" w:fill="auto"/>
        </w:rPr>
        <w:t>系数，沿海航区：</w:t>
      </w:r>
      <w:r>
        <w:rPr>
          <w:rFonts w:ascii="Times New Roman" w:eastAsia="宋体"/>
          <w:i/>
          <w:sz w:val="21"/>
          <w:szCs w:val="21"/>
          <w:shd w:val="clear" w:color="auto" w:fill="auto"/>
        </w:rPr>
        <w:t>k</w:t>
      </w:r>
      <w:r>
        <w:rPr>
          <w:rFonts w:ascii="Times New Roman" w:eastAsia="宋体"/>
          <w:sz w:val="21"/>
          <w:szCs w:val="21"/>
          <w:shd w:val="clear" w:color="auto" w:fill="auto"/>
        </w:rPr>
        <w:t>=1.0；遮蔽航区：</w:t>
      </w:r>
      <w:r>
        <w:rPr>
          <w:rFonts w:ascii="Times New Roman" w:eastAsia="宋体"/>
          <w:i/>
          <w:sz w:val="21"/>
          <w:szCs w:val="21"/>
          <w:shd w:val="clear" w:color="auto" w:fill="auto"/>
        </w:rPr>
        <w:t>k</w:t>
      </w:r>
      <w:r>
        <w:rPr>
          <w:rFonts w:ascii="Times New Roman" w:eastAsia="宋体"/>
          <w:sz w:val="21"/>
          <w:szCs w:val="21"/>
          <w:shd w:val="clear" w:color="auto" w:fill="auto"/>
        </w:rPr>
        <w:t>=0.85；平静水域：</w:t>
      </w:r>
      <w:r>
        <w:rPr>
          <w:rFonts w:ascii="Times New Roman" w:eastAsia="宋体"/>
          <w:i/>
          <w:sz w:val="21"/>
          <w:szCs w:val="21"/>
          <w:shd w:val="clear" w:color="auto" w:fill="auto"/>
        </w:rPr>
        <w:t>k</w:t>
      </w:r>
      <w:r>
        <w:rPr>
          <w:rFonts w:ascii="Times New Roman" w:eastAsia="宋体"/>
          <w:sz w:val="21"/>
          <w:szCs w:val="21"/>
          <w:shd w:val="clear" w:color="auto" w:fill="auto"/>
        </w:rPr>
        <w:t>=0.8。</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ascii="Times New Roman" w:eastAsia="宋体"/>
          <w:sz w:val="21"/>
          <w:szCs w:val="21"/>
          <w:shd w:val="clear" w:color="auto" w:fill="auto"/>
        </w:rPr>
        <w:t>6.2.7.3  高速船在船首、尾应该有清晰的吃水标尺。</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ascii="Times New Roman" w:eastAsia="宋体"/>
          <w:sz w:val="21"/>
          <w:szCs w:val="21"/>
          <w:shd w:val="clear" w:color="auto" w:fill="auto"/>
        </w:rPr>
        <w:t>6.2.7.4  高速船载重线及</w:t>
      </w:r>
      <w:r>
        <w:rPr>
          <w:rFonts w:hint="eastAsia" w:ascii="Times New Roman" w:eastAsia="宋体"/>
          <w:sz w:val="21"/>
          <w:szCs w:val="21"/>
          <w:shd w:val="clear" w:color="auto" w:fill="auto"/>
        </w:rPr>
        <w:t>甲板线</w:t>
      </w:r>
      <w:r>
        <w:rPr>
          <w:rFonts w:ascii="Times New Roman" w:eastAsia="宋体"/>
          <w:sz w:val="21"/>
          <w:szCs w:val="21"/>
          <w:shd w:val="clear" w:color="auto" w:fill="auto"/>
        </w:rPr>
        <w:t>的长度中点应位于船舶在排水状态下的漂心纵向位置。</w:t>
      </w:r>
    </w:p>
    <w:p>
      <w:pPr>
        <w:autoSpaceDE w:val="0"/>
        <w:autoSpaceDN w:val="0"/>
        <w:adjustRightInd w:val="0"/>
        <w:snapToGrid w:val="0"/>
        <w:spacing w:line="320" w:lineRule="atLeast"/>
        <w:ind w:firstLine="424" w:firstLineChars="202"/>
        <w:rPr>
          <w:lang w:val="zh-CN"/>
        </w:rPr>
      </w:pPr>
      <w:r>
        <w:rPr>
          <w:lang w:val="zh-CN"/>
        </w:rPr>
        <w:t xml:space="preserve">6.2.7.5  </w:t>
      </w:r>
      <w:r>
        <w:t>高速船</w:t>
      </w:r>
      <w:r>
        <w:rPr>
          <w:rFonts w:hint="eastAsia"/>
        </w:rPr>
        <w:t>的</w:t>
      </w:r>
      <w:r>
        <w:t>围板高度</w:t>
      </w:r>
      <w:r>
        <w:rPr>
          <w:rFonts w:hint="eastAsia"/>
        </w:rPr>
        <w:t>、门槛高度</w:t>
      </w:r>
      <w:r>
        <w:t>可减至与高速船工作安全相符合的最低值。</w:t>
      </w:r>
    </w:p>
    <w:p>
      <w:pPr>
        <w:autoSpaceDE w:val="0"/>
        <w:autoSpaceDN w:val="0"/>
        <w:adjustRightInd w:val="0"/>
        <w:snapToGrid w:val="0"/>
        <w:spacing w:line="320" w:lineRule="atLeast"/>
        <w:ind w:firstLine="424" w:firstLineChars="202"/>
        <w:rPr>
          <w:lang w:val="zh-CN"/>
        </w:rPr>
      </w:pPr>
      <w:r>
        <w:rPr>
          <w:lang w:val="zh-CN"/>
        </w:rPr>
        <w:t>6.2.7.6  高速船驾驶员座椅应设有安全带。</w:t>
      </w:r>
    </w:p>
    <w:p>
      <w:pPr>
        <w:autoSpaceDE w:val="0"/>
        <w:autoSpaceDN w:val="0"/>
        <w:adjustRightInd w:val="0"/>
        <w:snapToGrid w:val="0"/>
        <w:spacing w:line="320" w:lineRule="atLeast"/>
        <w:ind w:firstLine="424" w:firstLineChars="202"/>
        <w:rPr>
          <w:lang w:val="zh-CN"/>
        </w:rPr>
      </w:pPr>
    </w:p>
    <w:p>
      <w:pPr>
        <w:autoSpaceDE w:val="0"/>
        <w:autoSpaceDN w:val="0"/>
        <w:adjustRightInd w:val="0"/>
        <w:snapToGrid w:val="0"/>
        <w:spacing w:line="320" w:lineRule="atLeast"/>
        <w:ind w:firstLine="426" w:firstLineChars="202"/>
        <w:rPr>
          <w:b/>
          <w:bCs/>
          <w:szCs w:val="21"/>
        </w:rPr>
      </w:pPr>
      <w:r>
        <w:rPr>
          <w:b/>
          <w:bCs/>
          <w:szCs w:val="21"/>
        </w:rPr>
        <w:t xml:space="preserve">6.2.8  </w:t>
      </w:r>
      <w:r>
        <w:rPr>
          <w:rFonts w:hint="eastAsia"/>
          <w:b/>
          <w:bCs/>
          <w:szCs w:val="21"/>
        </w:rPr>
        <w:t>不沉性</w:t>
      </w:r>
    </w:p>
    <w:p>
      <w:pPr>
        <w:autoSpaceDE w:val="0"/>
        <w:autoSpaceDN w:val="0"/>
        <w:adjustRightInd w:val="0"/>
        <w:snapToGrid w:val="0"/>
        <w:spacing w:line="320" w:lineRule="atLeast"/>
        <w:ind w:firstLine="424" w:firstLineChars="202"/>
        <w:rPr>
          <w:lang w:val="zh-CN"/>
        </w:rPr>
      </w:pPr>
      <w:r>
        <w:rPr>
          <w:lang w:val="zh-CN"/>
        </w:rPr>
        <w:t>6.2.8.1  对</w:t>
      </w:r>
      <w:r>
        <w:rPr>
          <w:rFonts w:hint="eastAsia"/>
          <w:lang w:val="zh-CN"/>
        </w:rPr>
        <w:t>敞口船</w:t>
      </w:r>
      <w:r>
        <w:rPr>
          <w:lang w:val="zh-CN"/>
        </w:rPr>
        <w:t>，其新船或批量制造的首制船应通过下述灌水试验验证其满足要求：</w:t>
      </w:r>
    </w:p>
    <w:p>
      <w:pPr>
        <w:autoSpaceDE w:val="0"/>
        <w:autoSpaceDN w:val="0"/>
        <w:adjustRightInd w:val="0"/>
        <w:snapToGrid w:val="0"/>
        <w:spacing w:line="320" w:lineRule="atLeast"/>
        <w:ind w:left="420" w:leftChars="200"/>
        <w:rPr>
          <w:lang w:val="zh-CN"/>
        </w:rPr>
      </w:pPr>
      <w:r>
        <w:rPr>
          <w:rFonts w:hint="eastAsia"/>
          <w:lang w:val="zh-CN"/>
        </w:rPr>
        <w:t>（1）</w:t>
      </w:r>
      <w:r>
        <w:rPr>
          <w:lang w:val="zh-CN"/>
        </w:rPr>
        <w:t>船上所有装备齐全，每个乘员按28kg重量计，可用压铁代替就位，油、水装满；</w:t>
      </w:r>
    </w:p>
    <w:p>
      <w:pPr>
        <w:autoSpaceDE w:val="0"/>
        <w:autoSpaceDN w:val="0"/>
        <w:adjustRightInd w:val="0"/>
        <w:snapToGrid w:val="0"/>
        <w:spacing w:line="320" w:lineRule="atLeast"/>
        <w:ind w:firstLine="420" w:firstLineChars="200"/>
        <w:rPr>
          <w:lang w:val="zh-CN"/>
        </w:rPr>
      </w:pPr>
      <w:r>
        <w:rPr>
          <w:rFonts w:hint="eastAsia"/>
          <w:lang w:val="zh-CN"/>
        </w:rPr>
        <w:t>（2）</w:t>
      </w:r>
      <w:r>
        <w:rPr>
          <w:lang w:val="zh-CN"/>
        </w:rPr>
        <w:t>向</w:t>
      </w:r>
      <w:r>
        <w:rPr>
          <w:rFonts w:hint="eastAsia"/>
          <w:lang w:val="zh-CN"/>
        </w:rPr>
        <w:t>船</w:t>
      </w:r>
      <w:r>
        <w:rPr>
          <w:lang w:val="zh-CN"/>
        </w:rPr>
        <w:t>内灌水，直至</w:t>
      </w:r>
      <w:r>
        <w:rPr>
          <w:rFonts w:hint="eastAsia"/>
          <w:lang w:val="zh-CN"/>
        </w:rPr>
        <w:t>船</w:t>
      </w:r>
      <w:r>
        <w:rPr>
          <w:lang w:val="zh-CN"/>
        </w:rPr>
        <w:t>内与</w:t>
      </w:r>
      <w:r>
        <w:rPr>
          <w:rFonts w:hint="eastAsia"/>
          <w:lang w:val="zh-CN"/>
        </w:rPr>
        <w:t>船</w:t>
      </w:r>
      <w:r>
        <w:rPr>
          <w:lang w:val="zh-CN"/>
        </w:rPr>
        <w:t>外的水持平；</w:t>
      </w:r>
    </w:p>
    <w:p>
      <w:pPr>
        <w:autoSpaceDE w:val="0"/>
        <w:autoSpaceDN w:val="0"/>
        <w:adjustRightInd w:val="0"/>
        <w:snapToGrid w:val="0"/>
        <w:spacing w:line="320" w:lineRule="atLeast"/>
        <w:ind w:firstLine="420" w:firstLineChars="200"/>
        <w:rPr>
          <w:lang w:val="zh-CN"/>
        </w:rPr>
      </w:pPr>
      <w:r>
        <w:rPr>
          <w:rFonts w:hint="eastAsia"/>
          <w:lang w:val="zh-CN"/>
        </w:rPr>
        <w:t>（3）</w:t>
      </w:r>
      <w:r>
        <w:rPr>
          <w:lang w:val="zh-CN"/>
        </w:rPr>
        <w:t>在完成</w:t>
      </w:r>
      <w:r>
        <w:rPr>
          <w:rFonts w:hint="eastAsia"/>
          <w:lang w:val="zh-CN"/>
        </w:rPr>
        <w:t>（1）</w:t>
      </w:r>
      <w:r>
        <w:rPr>
          <w:lang w:val="zh-CN"/>
        </w:rPr>
        <w:t>和</w:t>
      </w:r>
      <w:r>
        <w:rPr>
          <w:rFonts w:hint="eastAsia"/>
          <w:lang w:val="zh-CN"/>
        </w:rPr>
        <w:t>（2）</w:t>
      </w:r>
      <w:r>
        <w:rPr>
          <w:lang w:val="zh-CN"/>
        </w:rPr>
        <w:t>项后，在乘员总重量不变的情况下，将其中</w:t>
      </w:r>
      <w:r>
        <w:t>（10+5</w:t>
      </w:r>
      <w:r>
        <w:rPr>
          <w:i/>
        </w:rPr>
        <w:t>n</w:t>
      </w:r>
      <w:r>
        <w:t>）</w:t>
      </w:r>
      <w:r>
        <w:rPr>
          <w:lang w:val="zh-CN"/>
        </w:rPr>
        <w:t>kg乘员重量移至一舷护舷材的任何位置处，</w:t>
      </w:r>
      <w:r>
        <w:rPr>
          <w:rFonts w:hint="eastAsia"/>
          <w:lang w:val="zh-CN"/>
        </w:rPr>
        <w:t>船</w:t>
      </w:r>
      <w:r>
        <w:rPr>
          <w:lang w:val="zh-CN"/>
        </w:rPr>
        <w:t>仍不至倾覆。</w:t>
      </w:r>
      <w:r>
        <w:rPr>
          <w:i/>
        </w:rPr>
        <w:t>n</w:t>
      </w:r>
      <w:r>
        <w:rPr>
          <w:lang w:val="zh-CN"/>
        </w:rPr>
        <w:t>为额定乘员数；</w:t>
      </w:r>
    </w:p>
    <w:p>
      <w:pPr>
        <w:autoSpaceDE w:val="0"/>
        <w:autoSpaceDN w:val="0"/>
        <w:adjustRightInd w:val="0"/>
        <w:snapToGrid w:val="0"/>
        <w:spacing w:line="320" w:lineRule="atLeast"/>
        <w:ind w:firstLine="420" w:firstLineChars="200"/>
        <w:rPr>
          <w:lang w:val="zh-CN"/>
        </w:rPr>
      </w:pPr>
      <w:r>
        <w:rPr>
          <w:rFonts w:hint="eastAsia"/>
          <w:lang w:val="zh-CN"/>
        </w:rPr>
        <w:t>（4）</w:t>
      </w:r>
      <w:r>
        <w:rPr>
          <w:lang w:val="zh-CN"/>
        </w:rPr>
        <w:t>在完成</w:t>
      </w:r>
      <w:r>
        <w:rPr>
          <w:rFonts w:hint="eastAsia"/>
          <w:lang w:val="zh-CN"/>
        </w:rPr>
        <w:t>（1）（2）</w:t>
      </w:r>
      <w:r>
        <w:rPr>
          <w:lang w:val="zh-CN"/>
        </w:rPr>
        <w:t>和</w:t>
      </w:r>
      <w:r>
        <w:rPr>
          <w:rFonts w:hint="eastAsia"/>
          <w:lang w:val="zh-CN"/>
        </w:rPr>
        <w:t>（3）</w:t>
      </w:r>
      <w:r>
        <w:rPr>
          <w:lang w:val="zh-CN"/>
        </w:rPr>
        <w:t>项后</w:t>
      </w:r>
      <w:r>
        <w:rPr>
          <w:rFonts w:hint="eastAsia"/>
          <w:lang w:val="zh-CN"/>
        </w:rPr>
        <w:t>，</w:t>
      </w:r>
      <w:r>
        <w:rPr>
          <w:lang w:val="zh-CN"/>
        </w:rPr>
        <w:t>继续向</w:t>
      </w:r>
      <w:r>
        <w:rPr>
          <w:rFonts w:hint="eastAsia"/>
          <w:lang w:val="zh-CN"/>
        </w:rPr>
        <w:t>船</w:t>
      </w:r>
      <w:r>
        <w:rPr>
          <w:lang w:val="zh-CN"/>
        </w:rPr>
        <w:t>内灌水，</w:t>
      </w:r>
      <w:r>
        <w:rPr>
          <w:rFonts w:hint="eastAsia"/>
          <w:lang w:val="zh-CN"/>
        </w:rPr>
        <w:t>船</w:t>
      </w:r>
      <w:r>
        <w:rPr>
          <w:lang w:val="zh-CN"/>
        </w:rPr>
        <w:t>应在不论多少水的情况下仍不致沉没。</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80" w:name="_Toc70411359"/>
      <w:r>
        <w:rPr>
          <w:rFonts w:eastAsia="楷体"/>
          <w:b w:val="0"/>
          <w:bCs w:val="0"/>
          <w:snapToGrid w:val="0"/>
          <w:kern w:val="0"/>
          <w:sz w:val="28"/>
          <w:szCs w:val="20"/>
        </w:rPr>
        <w:t>第3节  完整稳性</w:t>
      </w:r>
      <w:bookmarkEnd w:id="80"/>
    </w:p>
    <w:p>
      <w:pPr>
        <w:spacing w:line="320" w:lineRule="atLeast"/>
        <w:ind w:firstLine="422" w:firstLineChars="200"/>
        <w:rPr>
          <w:b/>
          <w:bCs/>
          <w:color w:val="000000"/>
        </w:rPr>
      </w:pPr>
      <w:r>
        <w:rPr>
          <w:b/>
          <w:bCs/>
          <w:color w:val="000000"/>
        </w:rPr>
        <w:t>6.3.1</w:t>
      </w:r>
      <w:r>
        <w:rPr>
          <w:rFonts w:hint="eastAsia"/>
          <w:b/>
          <w:bCs/>
          <w:color w:val="000000"/>
        </w:rPr>
        <w:t xml:space="preserve"> </w:t>
      </w:r>
      <w:r>
        <w:rPr>
          <w:b/>
          <w:bCs/>
          <w:color w:val="000000"/>
        </w:rPr>
        <w:t xml:space="preserve"> 一般要求</w:t>
      </w:r>
    </w:p>
    <w:p>
      <w:pPr>
        <w:spacing w:line="320" w:lineRule="atLeast"/>
        <w:ind w:firstLine="420" w:firstLineChars="200"/>
        <w:rPr>
          <w:color w:val="000000"/>
        </w:rPr>
      </w:pPr>
      <w:r>
        <w:rPr>
          <w:color w:val="000000"/>
        </w:rPr>
        <w:t>6.3.1.1</w:t>
      </w:r>
      <w:r>
        <w:rPr>
          <w:rFonts w:hint="eastAsia"/>
          <w:color w:val="000000"/>
        </w:rPr>
        <w:t xml:space="preserve"> </w:t>
      </w:r>
      <w:r>
        <w:rPr>
          <w:color w:val="000000"/>
        </w:rPr>
        <w:t xml:space="preserve"> </w:t>
      </w:r>
      <w:r>
        <w:rPr>
          <w:rFonts w:hint="eastAsia"/>
          <w:color w:val="000000"/>
        </w:rPr>
        <w:t>渔船</w:t>
      </w:r>
      <w:r>
        <w:rPr>
          <w:color w:val="000000"/>
        </w:rPr>
        <w:t>一般应按渔船法定检验技术规则进行稳性核算和倾斜试验。</w:t>
      </w:r>
    </w:p>
    <w:p>
      <w:pPr>
        <w:spacing w:line="320" w:lineRule="atLeast"/>
        <w:ind w:firstLine="420" w:firstLineChars="200"/>
        <w:rPr>
          <w:color w:val="000000"/>
        </w:rPr>
      </w:pPr>
      <w:r>
        <w:rPr>
          <w:color w:val="000000"/>
        </w:rPr>
        <w:t>6.3.1.2  下列船舶应按本节规定核算船舶稳性：</w:t>
      </w:r>
    </w:p>
    <w:p>
      <w:pPr>
        <w:spacing w:line="320" w:lineRule="atLeast"/>
        <w:ind w:firstLine="420" w:firstLineChars="200"/>
        <w:rPr>
          <w:color w:val="000000"/>
        </w:rPr>
      </w:pPr>
      <w:r>
        <w:rPr>
          <w:rFonts w:hint="eastAsia"/>
          <w:color w:val="000000"/>
        </w:rPr>
        <w:t>（1）</w:t>
      </w:r>
      <w:r>
        <w:rPr>
          <w:color w:val="000000"/>
        </w:rPr>
        <w:t>新船；</w:t>
      </w:r>
    </w:p>
    <w:p>
      <w:pPr>
        <w:spacing w:line="320" w:lineRule="atLeast"/>
        <w:ind w:firstLine="420" w:firstLineChars="200"/>
        <w:rPr>
          <w:color w:val="000000"/>
        </w:rPr>
      </w:pPr>
      <w:r>
        <w:rPr>
          <w:rFonts w:hint="eastAsia"/>
          <w:color w:val="000000"/>
        </w:rPr>
        <w:t>（2）</w:t>
      </w:r>
      <w:r>
        <w:rPr>
          <w:color w:val="000000"/>
        </w:rPr>
        <w:t>初次检验的现有船舶；</w:t>
      </w:r>
    </w:p>
    <w:p>
      <w:pPr>
        <w:spacing w:line="320" w:lineRule="atLeast"/>
        <w:ind w:firstLine="420" w:firstLineChars="200"/>
        <w:rPr>
          <w:color w:val="000000"/>
        </w:rPr>
      </w:pPr>
      <w:r>
        <w:rPr>
          <w:rFonts w:hint="eastAsia"/>
          <w:color w:val="000000"/>
        </w:rPr>
        <w:t>（3）</w:t>
      </w:r>
      <w:r>
        <w:rPr>
          <w:color w:val="000000"/>
        </w:rPr>
        <w:t>船舶因改装、改建或修理使船舶稳性恶化或空船状况变化较大的现有船舶；</w:t>
      </w:r>
    </w:p>
    <w:p>
      <w:pPr>
        <w:spacing w:line="320" w:lineRule="atLeast"/>
        <w:ind w:firstLine="420" w:firstLineChars="200"/>
        <w:rPr>
          <w:color w:val="000000"/>
        </w:rPr>
      </w:pPr>
      <w:r>
        <w:rPr>
          <w:rFonts w:hint="eastAsia"/>
          <w:color w:val="000000"/>
        </w:rPr>
        <w:t>（4）</w:t>
      </w:r>
      <w:r>
        <w:rPr>
          <w:color w:val="000000"/>
        </w:rPr>
        <w:t>对其船舶稳性发生怀疑的现有船舶。</w:t>
      </w:r>
    </w:p>
    <w:p>
      <w:pPr>
        <w:spacing w:line="320" w:lineRule="atLeast"/>
        <w:ind w:firstLine="420" w:firstLineChars="200"/>
        <w:rPr>
          <w:szCs w:val="21"/>
        </w:rPr>
      </w:pPr>
      <w:r>
        <w:rPr>
          <w:color w:val="000000"/>
        </w:rPr>
        <w:t>6.3.1.3</w:t>
      </w:r>
      <w:r>
        <w:rPr>
          <w:rFonts w:hint="eastAsia"/>
          <w:color w:val="000000"/>
        </w:rPr>
        <w:t xml:space="preserve"> </w:t>
      </w:r>
      <w:r>
        <w:rPr>
          <w:color w:val="000000"/>
        </w:rPr>
        <w:t xml:space="preserve"> </w:t>
      </w:r>
      <w:r>
        <w:rPr>
          <w:szCs w:val="21"/>
        </w:rPr>
        <w:t>船舶稳性计算虽已符合本章的要求，但船长仍应注意船舶装载及气象、海况、航向等情况，谨慎驾驶和操作。在船舶遭遇特殊情况或紧急情况而采取应变措施时，应注意船舶的稳性，防止发生倾覆的危险。</w:t>
      </w:r>
    </w:p>
    <w:p>
      <w:pPr>
        <w:spacing w:line="320" w:lineRule="atLeast"/>
        <w:ind w:firstLine="420" w:firstLineChars="200"/>
        <w:rPr>
          <w:szCs w:val="21"/>
        </w:rPr>
      </w:pPr>
      <w:r>
        <w:rPr>
          <w:color w:val="000000"/>
        </w:rPr>
        <w:t>6.3.1.4</w:t>
      </w:r>
      <w:r>
        <w:rPr>
          <w:rFonts w:hint="eastAsia"/>
          <w:color w:val="000000"/>
        </w:rPr>
        <w:t xml:space="preserve"> </w:t>
      </w:r>
      <w:r>
        <w:rPr>
          <w:color w:val="000000"/>
        </w:rPr>
        <w:t xml:space="preserve"> </w:t>
      </w:r>
      <w:r>
        <w:rPr>
          <w:szCs w:val="21"/>
        </w:rPr>
        <w:t>满足</w:t>
      </w:r>
      <w:r>
        <w:rPr>
          <w:rFonts w:hint="eastAsia"/>
          <w:szCs w:val="21"/>
        </w:rPr>
        <w:t>6</w:t>
      </w:r>
      <w:r>
        <w:rPr>
          <w:szCs w:val="21"/>
        </w:rPr>
        <w:t>.3.2</w:t>
      </w:r>
      <w:r>
        <w:rPr>
          <w:rFonts w:hint="eastAsia"/>
          <w:szCs w:val="21"/>
        </w:rPr>
        <w:t>的</w:t>
      </w:r>
      <w:r>
        <w:rPr>
          <w:szCs w:val="21"/>
        </w:rPr>
        <w:t>条件</w:t>
      </w:r>
      <w:r>
        <w:rPr>
          <w:rFonts w:hint="eastAsia"/>
          <w:szCs w:val="21"/>
        </w:rPr>
        <w:t>的</w:t>
      </w:r>
      <w:r>
        <w:rPr>
          <w:rFonts w:hint="eastAsia"/>
          <w:color w:val="000000"/>
        </w:rPr>
        <w:t>渔船</w:t>
      </w:r>
      <w:r>
        <w:rPr>
          <w:szCs w:val="21"/>
        </w:rPr>
        <w:t>可免于核算稳性</w:t>
      </w:r>
      <w:r>
        <w:rPr>
          <w:rFonts w:hint="eastAsia"/>
          <w:szCs w:val="21"/>
        </w:rPr>
        <w:t>。</w:t>
      </w:r>
    </w:p>
    <w:p>
      <w:pPr>
        <w:spacing w:line="320" w:lineRule="atLeast"/>
        <w:rPr>
          <w:color w:val="000000"/>
        </w:rPr>
      </w:pPr>
    </w:p>
    <w:p>
      <w:pPr>
        <w:spacing w:line="320" w:lineRule="atLeast"/>
        <w:ind w:firstLine="422" w:firstLineChars="200"/>
        <w:rPr>
          <w:b/>
          <w:bCs/>
          <w:color w:val="000000"/>
        </w:rPr>
      </w:pPr>
      <w:r>
        <w:rPr>
          <w:b/>
          <w:bCs/>
          <w:color w:val="000000"/>
        </w:rPr>
        <w:t>6.3.2</w:t>
      </w:r>
      <w:r>
        <w:rPr>
          <w:rFonts w:hint="eastAsia"/>
          <w:b/>
          <w:bCs/>
          <w:color w:val="000000"/>
        </w:rPr>
        <w:t xml:space="preserve"> </w:t>
      </w:r>
      <w:r>
        <w:rPr>
          <w:b/>
          <w:bCs/>
          <w:color w:val="000000"/>
        </w:rPr>
        <w:t xml:space="preserve"> 免于核算</w:t>
      </w:r>
      <w:r>
        <w:rPr>
          <w:rFonts w:hint="eastAsia"/>
          <w:b/>
          <w:bCs/>
          <w:color w:val="000000"/>
        </w:rPr>
        <w:t>的</w:t>
      </w:r>
      <w:r>
        <w:rPr>
          <w:b/>
          <w:bCs/>
          <w:color w:val="000000"/>
        </w:rPr>
        <w:t>条件</w:t>
      </w:r>
    </w:p>
    <w:p>
      <w:pPr>
        <w:spacing w:line="320" w:lineRule="atLeast"/>
        <w:ind w:firstLine="420" w:firstLineChars="200"/>
        <w:rPr>
          <w:color w:val="000000"/>
        </w:rPr>
      </w:pPr>
      <w:r>
        <w:rPr>
          <w:color w:val="000000"/>
        </w:rPr>
        <w:t xml:space="preserve">6.3.2.1  </w:t>
      </w:r>
      <w:r>
        <w:rPr>
          <w:rFonts w:hint="eastAsia"/>
          <w:color w:val="000000"/>
        </w:rPr>
        <w:t>船长小于12m海洋渔船</w:t>
      </w:r>
    </w:p>
    <w:p>
      <w:pPr>
        <w:spacing w:line="320" w:lineRule="atLeast"/>
        <w:ind w:firstLine="420" w:firstLineChars="200"/>
        <w:rPr>
          <w:color w:val="000000"/>
        </w:rPr>
      </w:pPr>
      <w:r>
        <w:rPr>
          <w:rFonts w:hint="eastAsia"/>
          <w:color w:val="000000"/>
        </w:rPr>
        <w:t>（1）</w:t>
      </w:r>
      <w:r>
        <w:rPr>
          <w:color w:val="000000"/>
        </w:rPr>
        <w:t>型宽吃水比</w:t>
      </w:r>
      <w:r>
        <w:rPr>
          <w:rFonts w:hint="eastAsia"/>
          <w:i/>
          <w:color w:val="000000"/>
        </w:rPr>
        <w:t>B/</w:t>
      </w:r>
      <w:r>
        <w:rPr>
          <w:i/>
          <w:color w:val="000000"/>
        </w:rPr>
        <w:t>d</w:t>
      </w:r>
      <w:r>
        <w:rPr>
          <w:color w:val="000000"/>
        </w:rPr>
        <w:t>应不小于表6.3.2.1所列之值；（</w:t>
      </w:r>
      <w:r>
        <w:rPr>
          <w:i/>
          <w:color w:val="000000"/>
        </w:rPr>
        <w:t>L</w:t>
      </w:r>
      <w:r>
        <w:rPr>
          <w:color w:val="000000"/>
        </w:rPr>
        <w:t>中间值时，</w:t>
      </w:r>
      <w:r>
        <w:rPr>
          <w:i/>
          <w:color w:val="000000"/>
        </w:rPr>
        <w:t>B/d</w:t>
      </w:r>
      <w:r>
        <w:rPr>
          <w:color w:val="000000"/>
        </w:rPr>
        <w:t>用插值法求得）</w:t>
      </w:r>
    </w:p>
    <w:p>
      <w:pPr>
        <w:wordWrap w:val="0"/>
        <w:adjustRightInd w:val="0"/>
        <w:snapToGrid w:val="0"/>
        <w:spacing w:line="320" w:lineRule="atLeast"/>
        <w:ind w:left="420" w:leftChars="200" w:firstLine="317" w:firstLineChars="151"/>
        <w:jc w:val="right"/>
        <w:rPr>
          <w:rFonts w:eastAsia="黑体"/>
          <w:szCs w:val="21"/>
        </w:rPr>
      </w:pPr>
      <w:r>
        <w:rPr>
          <w:rFonts w:hint="eastAsia" w:eastAsia="黑体"/>
          <w:szCs w:val="21"/>
        </w:rPr>
        <w:t>船长小于12m海洋渔船免于稳性</w:t>
      </w:r>
      <w:r>
        <w:rPr>
          <w:rFonts w:eastAsia="黑体"/>
          <w:szCs w:val="21"/>
        </w:rPr>
        <w:t>条件</w:t>
      </w:r>
      <w:r>
        <w:rPr>
          <w:rFonts w:hint="eastAsia" w:eastAsia="黑体"/>
          <w:szCs w:val="21"/>
        </w:rPr>
        <w:t xml:space="preserve">        </w:t>
      </w:r>
      <w:r>
        <w:rPr>
          <w:rFonts w:eastAsia="黑体"/>
          <w:szCs w:val="21"/>
        </w:rPr>
        <w:t xml:space="preserve">        表6.3.2.1</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247"/>
        <w:gridCol w:w="1245"/>
        <w:gridCol w:w="1245"/>
        <w:gridCol w:w="1247"/>
        <w:gridCol w:w="1245"/>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vAlign w:val="center"/>
          </w:tcPr>
          <w:p>
            <w:pPr>
              <w:adjustRightInd w:val="0"/>
              <w:snapToGrid w:val="0"/>
              <w:spacing w:line="320" w:lineRule="atLeast"/>
              <w:jc w:val="center"/>
              <w:rPr>
                <w:szCs w:val="21"/>
              </w:rPr>
            </w:pPr>
            <w:r>
              <w:rPr>
                <w:position w:val="-4"/>
                <w:szCs w:val="21"/>
              </w:rPr>
              <w:object>
                <v:shape id="_x0000_i1035" o:spt="75" type="#_x0000_t75" style="height:12.25pt;width:12.25pt;" o:ole="t" filled="f" o:preferrelative="t" stroked="f" coordsize="21600,21600">
                  <v:path/>
                  <v:fill on="f" focussize="0,0"/>
                  <v:stroke on="f" joinstyle="miter"/>
                  <v:imagedata r:id="rId35" o:title=""/>
                  <o:lock v:ext="edit" aspectratio="t"/>
                  <w10:wrap type="none"/>
                  <w10:anchorlock/>
                </v:shape>
                <o:OLEObject Type="Embed" ProgID="Equation.3" ShapeID="_x0000_i1035" DrawAspect="Content" ObjectID="_1468075733" r:id="rId34">
                  <o:LockedField>false</o:LockedField>
                </o:OLEObject>
              </w:object>
            </w:r>
            <w:r>
              <w:rPr>
                <w:szCs w:val="21"/>
              </w:rPr>
              <w:t>(m)</w:t>
            </w:r>
          </w:p>
        </w:tc>
        <w:tc>
          <w:tcPr>
            <w:tcW w:w="1247" w:type="dxa"/>
            <w:vAlign w:val="center"/>
          </w:tcPr>
          <w:p>
            <w:pPr>
              <w:adjustRightInd w:val="0"/>
              <w:snapToGrid w:val="0"/>
              <w:spacing w:line="320" w:lineRule="atLeast"/>
              <w:jc w:val="center"/>
              <w:rPr>
                <w:szCs w:val="21"/>
              </w:rPr>
            </w:pPr>
            <w:r>
              <w:rPr>
                <w:szCs w:val="21"/>
              </w:rPr>
              <w:t>7</w:t>
            </w:r>
          </w:p>
        </w:tc>
        <w:tc>
          <w:tcPr>
            <w:tcW w:w="1245" w:type="dxa"/>
            <w:vAlign w:val="center"/>
          </w:tcPr>
          <w:p>
            <w:pPr>
              <w:adjustRightInd w:val="0"/>
              <w:snapToGrid w:val="0"/>
              <w:spacing w:line="320" w:lineRule="atLeast"/>
              <w:jc w:val="center"/>
              <w:rPr>
                <w:szCs w:val="21"/>
              </w:rPr>
            </w:pPr>
            <w:r>
              <w:rPr>
                <w:szCs w:val="21"/>
              </w:rPr>
              <w:t>8</w:t>
            </w:r>
          </w:p>
        </w:tc>
        <w:tc>
          <w:tcPr>
            <w:tcW w:w="1245" w:type="dxa"/>
            <w:vAlign w:val="center"/>
          </w:tcPr>
          <w:p>
            <w:pPr>
              <w:adjustRightInd w:val="0"/>
              <w:snapToGrid w:val="0"/>
              <w:spacing w:line="320" w:lineRule="atLeast"/>
              <w:jc w:val="center"/>
              <w:rPr>
                <w:szCs w:val="21"/>
              </w:rPr>
            </w:pPr>
            <w:r>
              <w:rPr>
                <w:szCs w:val="21"/>
              </w:rPr>
              <w:t>9</w:t>
            </w:r>
          </w:p>
        </w:tc>
        <w:tc>
          <w:tcPr>
            <w:tcW w:w="1247" w:type="dxa"/>
            <w:vAlign w:val="center"/>
          </w:tcPr>
          <w:p>
            <w:pPr>
              <w:adjustRightInd w:val="0"/>
              <w:snapToGrid w:val="0"/>
              <w:spacing w:line="320" w:lineRule="atLeast"/>
              <w:jc w:val="center"/>
              <w:rPr>
                <w:szCs w:val="21"/>
              </w:rPr>
            </w:pPr>
            <w:r>
              <w:rPr>
                <w:szCs w:val="21"/>
              </w:rPr>
              <w:t>10</w:t>
            </w:r>
          </w:p>
        </w:tc>
        <w:tc>
          <w:tcPr>
            <w:tcW w:w="1245" w:type="dxa"/>
            <w:vAlign w:val="center"/>
          </w:tcPr>
          <w:p>
            <w:pPr>
              <w:adjustRightInd w:val="0"/>
              <w:snapToGrid w:val="0"/>
              <w:spacing w:line="320" w:lineRule="atLeast"/>
              <w:jc w:val="center"/>
              <w:rPr>
                <w:szCs w:val="21"/>
              </w:rPr>
            </w:pPr>
            <w:r>
              <w:rPr>
                <w:szCs w:val="21"/>
              </w:rPr>
              <w:t>11</w:t>
            </w:r>
          </w:p>
        </w:tc>
        <w:tc>
          <w:tcPr>
            <w:tcW w:w="1244" w:type="dxa"/>
            <w:vAlign w:val="center"/>
          </w:tcPr>
          <w:p>
            <w:pPr>
              <w:adjustRightInd w:val="0"/>
              <w:snapToGrid w:val="0"/>
              <w:spacing w:line="320" w:lineRule="atLeast"/>
              <w:jc w:val="center"/>
              <w:rPr>
                <w:szCs w:val="21"/>
              </w:rPr>
            </w:pPr>
            <w:r>
              <w:rPr>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vAlign w:val="center"/>
          </w:tcPr>
          <w:p>
            <w:pPr>
              <w:adjustRightInd w:val="0"/>
              <w:snapToGrid w:val="0"/>
              <w:spacing w:line="320" w:lineRule="atLeast"/>
              <w:jc w:val="center"/>
              <w:rPr>
                <w:szCs w:val="21"/>
              </w:rPr>
            </w:pPr>
            <w:r>
              <w:rPr>
                <w:position w:val="-10"/>
                <w:szCs w:val="21"/>
              </w:rPr>
              <w:object>
                <v:shape id="_x0000_i1036" o:spt="75" type="#_x0000_t75" style="height:17pt;width:23.1pt;" o:ole="t" filled="f" o:preferrelative="t" stroked="f" coordsize="21600,21600">
                  <v:path/>
                  <v:fill on="f" focussize="0,0"/>
                  <v:stroke on="f" joinstyle="miter"/>
                  <v:imagedata r:id="rId37" o:title=""/>
                  <o:lock v:ext="edit" aspectratio="t"/>
                  <w10:wrap type="none"/>
                  <w10:anchorlock/>
                </v:shape>
                <o:OLEObject Type="Embed" ProgID="Equation.3" ShapeID="_x0000_i1036" DrawAspect="Content" ObjectID="_1468075734" r:id="rId36">
                  <o:LockedField>false</o:LockedField>
                </o:OLEObject>
              </w:object>
            </w:r>
          </w:p>
        </w:tc>
        <w:tc>
          <w:tcPr>
            <w:tcW w:w="1247" w:type="dxa"/>
            <w:vAlign w:val="center"/>
          </w:tcPr>
          <w:p>
            <w:pPr>
              <w:adjustRightInd w:val="0"/>
              <w:snapToGrid w:val="0"/>
              <w:spacing w:line="320" w:lineRule="atLeast"/>
              <w:jc w:val="center"/>
              <w:rPr>
                <w:szCs w:val="21"/>
              </w:rPr>
            </w:pPr>
            <w:r>
              <w:rPr>
                <w:szCs w:val="21"/>
              </w:rPr>
              <w:t>4.77</w:t>
            </w:r>
          </w:p>
        </w:tc>
        <w:tc>
          <w:tcPr>
            <w:tcW w:w="1245" w:type="dxa"/>
            <w:vAlign w:val="center"/>
          </w:tcPr>
          <w:p>
            <w:pPr>
              <w:adjustRightInd w:val="0"/>
              <w:snapToGrid w:val="0"/>
              <w:spacing w:line="320" w:lineRule="atLeast"/>
              <w:jc w:val="center"/>
              <w:rPr>
                <w:szCs w:val="21"/>
              </w:rPr>
            </w:pPr>
            <w:r>
              <w:rPr>
                <w:szCs w:val="21"/>
              </w:rPr>
              <w:t>4.54</w:t>
            </w:r>
          </w:p>
        </w:tc>
        <w:tc>
          <w:tcPr>
            <w:tcW w:w="1245" w:type="dxa"/>
            <w:vAlign w:val="center"/>
          </w:tcPr>
          <w:p>
            <w:pPr>
              <w:adjustRightInd w:val="0"/>
              <w:snapToGrid w:val="0"/>
              <w:spacing w:line="320" w:lineRule="atLeast"/>
              <w:jc w:val="center"/>
              <w:rPr>
                <w:szCs w:val="21"/>
              </w:rPr>
            </w:pPr>
            <w:r>
              <w:rPr>
                <w:szCs w:val="21"/>
              </w:rPr>
              <w:t>4.34</w:t>
            </w:r>
          </w:p>
        </w:tc>
        <w:tc>
          <w:tcPr>
            <w:tcW w:w="1247" w:type="dxa"/>
            <w:vAlign w:val="center"/>
          </w:tcPr>
          <w:p>
            <w:pPr>
              <w:adjustRightInd w:val="0"/>
              <w:snapToGrid w:val="0"/>
              <w:spacing w:line="320" w:lineRule="atLeast"/>
              <w:jc w:val="center"/>
              <w:rPr>
                <w:szCs w:val="21"/>
              </w:rPr>
            </w:pPr>
            <w:r>
              <w:rPr>
                <w:szCs w:val="21"/>
              </w:rPr>
              <w:t>4.17</w:t>
            </w:r>
          </w:p>
        </w:tc>
        <w:tc>
          <w:tcPr>
            <w:tcW w:w="1245" w:type="dxa"/>
            <w:vAlign w:val="center"/>
          </w:tcPr>
          <w:p>
            <w:pPr>
              <w:adjustRightInd w:val="0"/>
              <w:snapToGrid w:val="0"/>
              <w:spacing w:line="320" w:lineRule="atLeast"/>
              <w:jc w:val="center"/>
              <w:rPr>
                <w:szCs w:val="21"/>
              </w:rPr>
            </w:pPr>
            <w:r>
              <w:rPr>
                <w:szCs w:val="21"/>
              </w:rPr>
              <w:t>4.02</w:t>
            </w:r>
          </w:p>
        </w:tc>
        <w:tc>
          <w:tcPr>
            <w:tcW w:w="1244" w:type="dxa"/>
            <w:vAlign w:val="center"/>
          </w:tcPr>
          <w:p>
            <w:pPr>
              <w:adjustRightInd w:val="0"/>
              <w:snapToGrid w:val="0"/>
              <w:spacing w:line="320" w:lineRule="atLeast"/>
              <w:jc w:val="center"/>
              <w:rPr>
                <w:szCs w:val="21"/>
              </w:rPr>
            </w:pPr>
            <w:r>
              <w:rPr>
                <w:szCs w:val="21"/>
              </w:rPr>
              <w:t>3.89</w:t>
            </w:r>
          </w:p>
        </w:tc>
      </w:tr>
    </w:tbl>
    <w:p>
      <w:pPr>
        <w:adjustRightInd w:val="0"/>
        <w:snapToGrid w:val="0"/>
        <w:spacing w:line="320" w:lineRule="atLeast"/>
        <w:ind w:firstLine="420" w:firstLineChars="200"/>
        <w:jc w:val="left"/>
        <w:rPr>
          <w:szCs w:val="21"/>
        </w:rPr>
      </w:pPr>
      <w:r>
        <w:rPr>
          <w:szCs w:val="21"/>
        </w:rPr>
        <w:t>表中：</w:t>
      </w:r>
      <w:r>
        <w:rPr>
          <w:i/>
          <w:szCs w:val="21"/>
        </w:rPr>
        <w:t>B</w:t>
      </w:r>
      <w:r>
        <w:rPr>
          <w:szCs w:val="21"/>
        </w:rPr>
        <w:t xml:space="preserve"> </w:t>
      </w:r>
      <w:r>
        <w:rPr>
          <w:rFonts w:hint="eastAsia"/>
          <w:color w:val="000000"/>
          <w:kern w:val="0"/>
          <w:szCs w:val="21"/>
        </w:rPr>
        <w:t>—</w:t>
      </w:r>
      <w:r>
        <w:rPr>
          <w:szCs w:val="21"/>
        </w:rPr>
        <w:t>型宽，m；</w:t>
      </w:r>
    </w:p>
    <w:p>
      <w:pPr>
        <w:adjustRightInd w:val="0"/>
        <w:snapToGrid w:val="0"/>
        <w:spacing w:line="320" w:lineRule="atLeast"/>
        <w:ind w:firstLine="1050" w:firstLineChars="500"/>
        <w:jc w:val="left"/>
        <w:rPr>
          <w:szCs w:val="21"/>
        </w:rPr>
      </w:pPr>
      <w:r>
        <w:rPr>
          <w:rFonts w:hint="eastAsia"/>
          <w:i/>
          <w:szCs w:val="21"/>
        </w:rPr>
        <w:t>d</w:t>
      </w:r>
      <w:r>
        <w:rPr>
          <w:szCs w:val="21"/>
        </w:rPr>
        <w:t xml:space="preserve"> </w:t>
      </w:r>
      <w:r>
        <w:rPr>
          <w:rFonts w:hint="eastAsia"/>
          <w:color w:val="000000"/>
          <w:kern w:val="0"/>
          <w:szCs w:val="21"/>
        </w:rPr>
        <w:t>—吃水</w:t>
      </w:r>
      <w:r>
        <w:rPr>
          <w:szCs w:val="21"/>
        </w:rPr>
        <w:t>，m；</w:t>
      </w:r>
    </w:p>
    <w:p>
      <w:pPr>
        <w:adjustRightInd w:val="0"/>
        <w:snapToGrid w:val="0"/>
        <w:spacing w:line="320" w:lineRule="atLeast"/>
        <w:ind w:firstLine="1050" w:firstLineChars="500"/>
        <w:jc w:val="left"/>
        <w:rPr>
          <w:szCs w:val="21"/>
        </w:rPr>
      </w:pPr>
      <w:r>
        <w:rPr>
          <w:position w:val="-4"/>
          <w:szCs w:val="21"/>
        </w:rPr>
        <w:object>
          <v:shape id="_x0000_i1037" o:spt="75" type="#_x0000_t75" style="height:12.25pt;width:12.25pt;" o:ole="t" filled="f" o:preferrelative="t" stroked="f" coordsize="21600,21600">
            <v:path/>
            <v:fill on="f" focussize="0,0"/>
            <v:stroke on="f" joinstyle="miter"/>
            <v:imagedata r:id="rId35" o:title=""/>
            <o:lock v:ext="edit" aspectratio="t"/>
            <w10:wrap type="none"/>
            <w10:anchorlock/>
          </v:shape>
          <o:OLEObject Type="Embed" ProgID="Equation.3" ShapeID="_x0000_i1037" DrawAspect="Content" ObjectID="_1468075735" r:id="rId38">
            <o:LockedField>false</o:LockedField>
          </o:OLEObject>
        </w:object>
      </w:r>
      <w:r>
        <w:rPr>
          <w:rFonts w:hint="eastAsia"/>
          <w:color w:val="000000"/>
          <w:kern w:val="0"/>
          <w:szCs w:val="21"/>
        </w:rPr>
        <w:t>—</w:t>
      </w:r>
      <w:r>
        <w:rPr>
          <w:szCs w:val="21"/>
        </w:rPr>
        <w:t>船长，m。</w:t>
      </w:r>
    </w:p>
    <w:p>
      <w:pPr>
        <w:adjustRightInd w:val="0"/>
        <w:snapToGrid w:val="0"/>
        <w:spacing w:line="320" w:lineRule="atLeast"/>
        <w:ind w:firstLine="420" w:firstLineChars="200"/>
        <w:jc w:val="left"/>
        <w:rPr>
          <w:szCs w:val="21"/>
        </w:rPr>
      </w:pPr>
      <w:r>
        <w:rPr>
          <w:rFonts w:hint="eastAsia"/>
          <w:szCs w:val="21"/>
        </w:rPr>
        <w:t>（2）</w:t>
      </w:r>
      <w:r>
        <w:rPr>
          <w:szCs w:val="21"/>
        </w:rPr>
        <w:t>干舷</w:t>
      </w:r>
      <w:r>
        <w:rPr>
          <w:i/>
          <w:szCs w:val="21"/>
        </w:rPr>
        <w:t>F</w:t>
      </w:r>
      <w:r>
        <w:rPr>
          <w:szCs w:val="21"/>
        </w:rPr>
        <w:t>应满足下式的要求：</w:t>
      </w:r>
    </w:p>
    <w:p>
      <w:pPr>
        <w:adjustRightInd w:val="0"/>
        <w:snapToGrid w:val="0"/>
        <w:spacing w:line="320" w:lineRule="atLeast"/>
        <w:ind w:firstLine="420" w:firstLineChars="200"/>
        <w:jc w:val="center"/>
        <w:rPr>
          <w:szCs w:val="21"/>
        </w:rPr>
      </w:pPr>
      <w:r>
        <w:rPr>
          <w:i/>
          <w:szCs w:val="21"/>
        </w:rPr>
        <w:t>F</w:t>
      </w:r>
      <w:r>
        <w:rPr>
          <w:rFonts w:hint="eastAsia"/>
          <w:szCs w:val="21"/>
        </w:rPr>
        <w:t>≥</w:t>
      </w:r>
      <w:r>
        <w:rPr>
          <w:szCs w:val="21"/>
        </w:rPr>
        <w:t>0.1</w:t>
      </w:r>
      <w:r>
        <w:rPr>
          <w:i/>
          <w:szCs w:val="21"/>
        </w:rPr>
        <w:t>B</w:t>
      </w:r>
    </w:p>
    <w:p>
      <w:pPr>
        <w:adjustRightInd w:val="0"/>
        <w:snapToGrid w:val="0"/>
        <w:spacing w:line="320" w:lineRule="atLeast"/>
        <w:ind w:firstLine="420" w:firstLineChars="200"/>
        <w:jc w:val="left"/>
        <w:rPr>
          <w:szCs w:val="21"/>
        </w:rPr>
      </w:pPr>
      <w:r>
        <w:rPr>
          <w:rFonts w:hint="eastAsia"/>
          <w:szCs w:val="21"/>
        </w:rPr>
        <w:t>（3）</w:t>
      </w:r>
      <w:r>
        <w:rPr>
          <w:szCs w:val="21"/>
        </w:rPr>
        <w:t>船上的总人数</w:t>
      </w:r>
      <w:r>
        <w:rPr>
          <w:i/>
          <w:szCs w:val="21"/>
        </w:rPr>
        <w:t>N</w:t>
      </w:r>
      <w:r>
        <w:rPr>
          <w:szCs w:val="21"/>
        </w:rPr>
        <w:t>应不超过下式计算所得之值：</w:t>
      </w:r>
    </w:p>
    <w:p>
      <w:pPr>
        <w:adjustRightInd w:val="0"/>
        <w:snapToGrid w:val="0"/>
        <w:spacing w:line="320" w:lineRule="atLeast"/>
        <w:ind w:firstLine="420" w:firstLineChars="200"/>
        <w:jc w:val="center"/>
        <w:rPr>
          <w:szCs w:val="21"/>
        </w:rPr>
      </w:pPr>
      <w:r>
        <w:rPr>
          <w:i/>
          <w:szCs w:val="21"/>
        </w:rPr>
        <w:t>N</w:t>
      </w:r>
      <w:r>
        <w:rPr>
          <w:rFonts w:hint="eastAsia"/>
          <w:szCs w:val="21"/>
        </w:rPr>
        <w:t>≤</w:t>
      </w:r>
      <w:r>
        <w:rPr>
          <w:szCs w:val="21"/>
        </w:rPr>
        <w:t>2+</w:t>
      </w:r>
      <w:r>
        <w:rPr>
          <w:i/>
          <w:szCs w:val="21"/>
        </w:rPr>
        <w:t>L/</w:t>
      </w:r>
      <w:r>
        <w:rPr>
          <w:szCs w:val="21"/>
        </w:rPr>
        <w:t>3</w:t>
      </w:r>
    </w:p>
    <w:p>
      <w:pPr>
        <w:adjustRightInd w:val="0"/>
        <w:snapToGrid w:val="0"/>
        <w:spacing w:line="320" w:lineRule="atLeast"/>
        <w:ind w:firstLine="420" w:firstLineChars="200"/>
        <w:jc w:val="left"/>
        <w:rPr>
          <w:szCs w:val="21"/>
        </w:rPr>
      </w:pPr>
      <w:r>
        <w:rPr>
          <w:szCs w:val="21"/>
        </w:rPr>
        <w:t>式中：</w:t>
      </w:r>
      <w:r>
        <w:rPr>
          <w:rFonts w:hint="eastAsia"/>
          <w:i/>
          <w:szCs w:val="21"/>
        </w:rPr>
        <w:t>L</w:t>
      </w:r>
      <w:r>
        <w:rPr>
          <w:szCs w:val="21"/>
        </w:rPr>
        <w:t>/3的值只取整数部分，</w:t>
      </w:r>
      <w:r>
        <w:rPr>
          <w:i/>
          <w:szCs w:val="21"/>
        </w:rPr>
        <w:t>L</w:t>
      </w:r>
      <w:r>
        <w:rPr>
          <w:szCs w:val="21"/>
        </w:rPr>
        <w:t>指</w:t>
      </w:r>
      <w:r>
        <w:rPr>
          <w:rFonts w:hint="eastAsia"/>
          <w:szCs w:val="21"/>
        </w:rPr>
        <w:t>1</w:t>
      </w:r>
      <w:r>
        <w:rPr>
          <w:szCs w:val="21"/>
        </w:rPr>
        <w:t>.2.3定义的船长</w:t>
      </w:r>
      <w:r>
        <w:rPr>
          <w:rFonts w:hint="eastAsia"/>
          <w:szCs w:val="21"/>
        </w:rPr>
        <w:t>；</w:t>
      </w:r>
    </w:p>
    <w:p>
      <w:pPr>
        <w:adjustRightInd w:val="0"/>
        <w:snapToGrid w:val="0"/>
        <w:spacing w:line="320" w:lineRule="atLeast"/>
        <w:ind w:firstLine="420" w:firstLineChars="200"/>
        <w:jc w:val="left"/>
        <w:rPr>
          <w:szCs w:val="21"/>
        </w:rPr>
      </w:pPr>
      <w:r>
        <w:rPr>
          <w:rFonts w:hint="eastAsia"/>
          <w:szCs w:val="21"/>
        </w:rPr>
        <w:t>（4）</w:t>
      </w:r>
      <w:r>
        <w:rPr>
          <w:szCs w:val="21"/>
        </w:rPr>
        <w:t>设在连续甲板上的甲板室总长度应不大于0.4</w:t>
      </w:r>
      <w:r>
        <w:rPr>
          <w:i/>
          <w:szCs w:val="21"/>
        </w:rPr>
        <w:t>L</w:t>
      </w:r>
      <w:r>
        <w:rPr>
          <w:szCs w:val="21"/>
        </w:rPr>
        <w:t>，其高度应不大于1.8m，且不大于</w:t>
      </w:r>
      <w:r>
        <w:rPr>
          <w:i/>
          <w:szCs w:val="21"/>
        </w:rPr>
        <w:t>B</w:t>
      </w:r>
      <w:r>
        <w:rPr>
          <w:szCs w:val="21"/>
        </w:rPr>
        <w:t>/2。</w:t>
      </w:r>
    </w:p>
    <w:p>
      <w:pPr>
        <w:adjustRightInd w:val="0"/>
        <w:snapToGrid w:val="0"/>
        <w:spacing w:line="320" w:lineRule="atLeast"/>
        <w:ind w:firstLine="420" w:firstLineChars="200"/>
        <w:jc w:val="left"/>
        <w:rPr>
          <w:szCs w:val="21"/>
        </w:rPr>
      </w:pPr>
      <w:r>
        <w:rPr>
          <w:rFonts w:hint="eastAsia"/>
          <w:szCs w:val="21"/>
        </w:rPr>
        <w:t>（5）</w:t>
      </w:r>
      <w:r>
        <w:rPr>
          <w:szCs w:val="21"/>
        </w:rPr>
        <w:t>从连续甲板量起，顶层甲板的最大高度应不大于0.7</w:t>
      </w:r>
      <w:r>
        <w:rPr>
          <w:i/>
          <w:szCs w:val="21"/>
        </w:rPr>
        <w:t>B</w:t>
      </w:r>
      <w:r>
        <w:rPr>
          <w:szCs w:val="21"/>
        </w:rPr>
        <w:t>，且不大于2.5m；其长度不大于</w:t>
      </w:r>
      <w:r>
        <w:rPr>
          <w:i/>
          <w:szCs w:val="21"/>
        </w:rPr>
        <w:t>L</w:t>
      </w:r>
      <w:r>
        <w:rPr>
          <w:szCs w:val="21"/>
        </w:rPr>
        <w:t>/6，且不大于2.5m。</w:t>
      </w:r>
    </w:p>
    <w:p>
      <w:pPr>
        <w:spacing w:line="320" w:lineRule="atLeast"/>
        <w:ind w:firstLine="420" w:firstLineChars="200"/>
        <w:rPr>
          <w:color w:val="000000"/>
        </w:rPr>
      </w:pPr>
    </w:p>
    <w:p>
      <w:pPr>
        <w:spacing w:line="320" w:lineRule="atLeast"/>
        <w:ind w:firstLine="420" w:firstLineChars="200"/>
        <w:rPr>
          <w:color w:val="000000"/>
        </w:rPr>
      </w:pPr>
      <w:r>
        <w:rPr>
          <w:color w:val="000000"/>
        </w:rPr>
        <w:t xml:space="preserve">6.3.2.2  </w:t>
      </w:r>
      <w:r>
        <w:rPr>
          <w:rFonts w:hint="eastAsia"/>
          <w:color w:val="000000"/>
        </w:rPr>
        <w:t>船长小于12m内河渔船</w:t>
      </w:r>
    </w:p>
    <w:p>
      <w:pPr>
        <w:spacing w:line="320" w:lineRule="atLeast"/>
        <w:ind w:firstLine="420" w:firstLineChars="200"/>
        <w:rPr>
          <w:color w:val="000000"/>
        </w:rPr>
      </w:pPr>
      <w:r>
        <w:rPr>
          <w:rFonts w:hint="eastAsia"/>
          <w:color w:val="000000"/>
        </w:rPr>
        <w:t>（1）</w:t>
      </w:r>
      <w:r>
        <w:rPr>
          <w:color w:val="000000"/>
        </w:rPr>
        <w:t>柴油挂桨</w:t>
      </w:r>
      <w:r>
        <w:rPr>
          <w:rFonts w:hint="eastAsia"/>
          <w:color w:val="000000"/>
        </w:rPr>
        <w:t>（机）</w:t>
      </w:r>
      <w:r>
        <w:rPr>
          <w:color w:val="000000"/>
        </w:rPr>
        <w:t>船的主机总功率P</w:t>
      </w:r>
      <w:r>
        <w:rPr>
          <w:rFonts w:hint="eastAsia"/>
          <w:color w:val="000000"/>
        </w:rPr>
        <w:t>≤</w:t>
      </w:r>
      <w:r>
        <w:rPr>
          <w:color w:val="000000"/>
        </w:rPr>
        <w:t>74kW，且</w:t>
      </w:r>
      <w:r>
        <w:rPr>
          <w:i/>
          <w:color w:val="000000"/>
          <w:sz w:val="24"/>
        </w:rPr>
        <w:t>P</w:t>
      </w:r>
      <w:r>
        <w:rPr>
          <w:rFonts w:hint="eastAsia"/>
          <w:color w:val="000000"/>
        </w:rPr>
        <w:t>≤</w:t>
      </w:r>
      <w:r>
        <w:rPr>
          <w:color w:val="000000"/>
          <w:sz w:val="24"/>
        </w:rPr>
        <w:t>2.2+5.2(</w:t>
      </w:r>
      <w:r>
        <w:rPr>
          <w:i/>
          <w:color w:val="000000"/>
          <w:sz w:val="24"/>
        </w:rPr>
        <w:t>L</w:t>
      </w:r>
      <w:r>
        <w:rPr>
          <w:i/>
          <w:color w:val="000000"/>
          <w:szCs w:val="21"/>
          <w:vertAlign w:val="subscript"/>
        </w:rPr>
        <w:t>oa</w:t>
      </w:r>
      <w:r>
        <w:rPr>
          <w:color w:val="000000"/>
          <w:sz w:val="24"/>
        </w:rPr>
        <w:t>∙</w:t>
      </w:r>
      <w:r>
        <w:rPr>
          <w:i/>
          <w:color w:val="000000"/>
          <w:sz w:val="24"/>
        </w:rPr>
        <w:t>B</w:t>
      </w:r>
      <w:r>
        <w:rPr>
          <w:i/>
          <w:color w:val="000000"/>
          <w:szCs w:val="21"/>
          <w:vertAlign w:val="subscript"/>
        </w:rPr>
        <w:t>WL</w:t>
      </w:r>
      <w:r>
        <w:rPr>
          <w:rFonts w:hint="eastAsia"/>
          <w:i/>
          <w:color w:val="000000"/>
          <w:szCs w:val="21"/>
          <w:vertAlign w:val="subscript"/>
        </w:rPr>
        <w:t xml:space="preserve"> </w:t>
      </w:r>
      <w:r>
        <w:rPr>
          <w:rFonts w:hint="eastAsia"/>
          <w:color w:val="000000"/>
          <w:szCs w:val="21"/>
        </w:rPr>
        <w:t>—</w:t>
      </w:r>
      <w:r>
        <w:rPr>
          <w:color w:val="000000"/>
          <w:sz w:val="24"/>
        </w:rPr>
        <w:t>3.5)</w:t>
      </w:r>
      <w:r>
        <w:rPr>
          <w:color w:val="000000"/>
        </w:rPr>
        <w:t xml:space="preserve"> kW时，若其主尺度比满足下列要求，可免于核算稳性：</w:t>
      </w:r>
    </w:p>
    <w:p>
      <w:pPr>
        <w:spacing w:line="320" w:lineRule="atLeast"/>
        <w:ind w:firstLine="840" w:firstLineChars="400"/>
        <w:rPr>
          <w:color w:val="000000"/>
        </w:rPr>
      </w:pPr>
      <w:r>
        <w:rPr>
          <w:rFonts w:hint="eastAsia"/>
          <w:color w:val="000000"/>
        </w:rPr>
        <w:t>①</w:t>
      </w:r>
      <w:r>
        <w:rPr>
          <w:color w:val="000000"/>
        </w:rPr>
        <w:t xml:space="preserve">  </w:t>
      </w:r>
      <w:r>
        <w:rPr>
          <w:i/>
          <w:color w:val="000000"/>
        </w:rPr>
        <w:t>F / B</w:t>
      </w:r>
      <w:r>
        <w:rPr>
          <w:rFonts w:hint="eastAsia"/>
          <w:color w:val="000000"/>
        </w:rPr>
        <w:t>≥</w:t>
      </w:r>
      <w:r>
        <w:rPr>
          <w:color w:val="000000"/>
        </w:rPr>
        <w:t>0.07</w:t>
      </w:r>
    </w:p>
    <w:p>
      <w:pPr>
        <w:spacing w:line="320" w:lineRule="atLeast"/>
        <w:ind w:firstLine="840" w:firstLineChars="400"/>
        <w:rPr>
          <w:color w:val="000000"/>
        </w:rPr>
      </w:pPr>
      <w:r>
        <w:rPr>
          <w:rFonts w:hint="eastAsia"/>
          <w:color w:val="000000"/>
        </w:rPr>
        <w:t>②</w:t>
      </w:r>
      <w:r>
        <w:rPr>
          <w:color w:val="000000"/>
        </w:rPr>
        <w:t xml:space="preserve">  </w:t>
      </w:r>
      <w:r>
        <w:rPr>
          <w:i/>
          <w:color w:val="000000"/>
        </w:rPr>
        <w:t>B / D</w:t>
      </w:r>
      <w:r>
        <w:rPr>
          <w:rFonts w:hint="eastAsia"/>
          <w:color w:val="000000"/>
        </w:rPr>
        <w:t>≥</w:t>
      </w:r>
      <w:r>
        <w:rPr>
          <w:color w:val="000000"/>
        </w:rPr>
        <w:t>3.0</w:t>
      </w:r>
    </w:p>
    <w:p>
      <w:pPr>
        <w:spacing w:line="320" w:lineRule="atLeast"/>
        <w:ind w:firstLine="420" w:firstLineChars="200"/>
        <w:rPr>
          <w:color w:val="000000"/>
        </w:rPr>
      </w:pPr>
      <w:r>
        <w:rPr>
          <w:color w:val="000000"/>
        </w:rPr>
        <w:t>式中：</w:t>
      </w:r>
      <w:r>
        <w:rPr>
          <w:i/>
          <w:color w:val="000000"/>
          <w:sz w:val="24"/>
        </w:rPr>
        <w:t>L</w:t>
      </w:r>
      <w:r>
        <w:rPr>
          <w:i/>
          <w:color w:val="000000"/>
          <w:szCs w:val="21"/>
          <w:vertAlign w:val="subscript"/>
        </w:rPr>
        <w:t>oa</w:t>
      </w:r>
      <w:r>
        <w:rPr>
          <w:rFonts w:hint="eastAsia"/>
          <w:i/>
          <w:color w:val="000000"/>
          <w:szCs w:val="21"/>
          <w:vertAlign w:val="subscript"/>
        </w:rPr>
        <w:t xml:space="preserve"> </w:t>
      </w:r>
      <w:r>
        <w:rPr>
          <w:i/>
          <w:color w:val="000000"/>
          <w:szCs w:val="21"/>
          <w:vertAlign w:val="subscript"/>
        </w:rPr>
        <w:t xml:space="preserve"> </w:t>
      </w:r>
      <w:r>
        <w:rPr>
          <w:szCs w:val="21"/>
        </w:rPr>
        <w:t>—</w:t>
      </w:r>
      <w:r>
        <w:rPr>
          <w:color w:val="000000"/>
        </w:rPr>
        <w:t>船舶总长，m；</w:t>
      </w:r>
    </w:p>
    <w:p>
      <w:pPr>
        <w:spacing w:line="320" w:lineRule="atLeast"/>
        <w:rPr>
          <w:color w:val="000000"/>
        </w:rPr>
      </w:pPr>
      <w:r>
        <w:rPr>
          <w:color w:val="000000"/>
        </w:rPr>
        <w:t xml:space="preserve">          </w:t>
      </w:r>
      <w:r>
        <w:rPr>
          <w:i/>
          <w:color w:val="000000"/>
          <w:sz w:val="24"/>
        </w:rPr>
        <w:t>B</w:t>
      </w:r>
      <w:r>
        <w:rPr>
          <w:i/>
          <w:color w:val="000000"/>
          <w:szCs w:val="21"/>
          <w:vertAlign w:val="subscript"/>
        </w:rPr>
        <w:t>WL</w:t>
      </w:r>
      <w:r>
        <w:rPr>
          <w:rFonts w:hint="eastAsia"/>
          <w:color w:val="000000"/>
        </w:rPr>
        <w:t xml:space="preserve"> </w:t>
      </w:r>
      <w:r>
        <w:rPr>
          <w:szCs w:val="21"/>
        </w:rPr>
        <w:t>—</w:t>
      </w:r>
      <w:r>
        <w:rPr>
          <w:color w:val="000000"/>
        </w:rPr>
        <w:t>船舶的水线宽，m。</w:t>
      </w:r>
    </w:p>
    <w:p>
      <w:pPr>
        <w:spacing w:line="320" w:lineRule="atLeast"/>
        <w:rPr>
          <w:color w:val="000000"/>
        </w:rPr>
      </w:pPr>
    </w:p>
    <w:p>
      <w:pPr>
        <w:spacing w:line="320" w:lineRule="atLeast"/>
        <w:ind w:firstLine="422" w:firstLineChars="200"/>
        <w:rPr>
          <w:b/>
          <w:bCs/>
          <w:color w:val="000000"/>
        </w:rPr>
      </w:pPr>
      <w:r>
        <w:rPr>
          <w:b/>
          <w:bCs/>
          <w:color w:val="000000"/>
        </w:rPr>
        <w:t>6.3.3</w:t>
      </w:r>
      <w:r>
        <w:rPr>
          <w:rFonts w:hint="eastAsia"/>
          <w:b/>
          <w:bCs/>
          <w:color w:val="000000"/>
        </w:rPr>
        <w:t xml:space="preserve"> </w:t>
      </w:r>
      <w:r>
        <w:rPr>
          <w:b/>
          <w:bCs/>
          <w:color w:val="000000"/>
        </w:rPr>
        <w:t xml:space="preserve"> </w:t>
      </w:r>
      <w:r>
        <w:rPr>
          <w:rFonts w:hint="eastAsia"/>
          <w:b/>
          <w:bCs/>
          <w:color w:val="000000"/>
        </w:rPr>
        <w:t>高速船</w:t>
      </w:r>
      <w:r>
        <w:rPr>
          <w:b/>
          <w:bCs/>
          <w:color w:val="000000"/>
        </w:rPr>
        <w:t>的特殊规定</w:t>
      </w:r>
    </w:p>
    <w:p>
      <w:pPr>
        <w:adjustRightInd w:val="0"/>
        <w:snapToGrid w:val="0"/>
        <w:spacing w:line="320" w:lineRule="atLeast"/>
        <w:ind w:firstLine="422" w:firstLineChars="201"/>
        <w:jc w:val="left"/>
        <w:rPr>
          <w:szCs w:val="21"/>
        </w:rPr>
      </w:pPr>
      <w:r>
        <w:rPr>
          <w:szCs w:val="21"/>
        </w:rPr>
        <w:t>6.3.3.1  高速船的完整稳性除满足以下要求外，尚应满足</w:t>
      </w:r>
      <w:r>
        <w:rPr>
          <w:rFonts w:hint="eastAsia"/>
          <w:szCs w:val="21"/>
        </w:rPr>
        <w:t>6.3.1.1</w:t>
      </w:r>
      <w:r>
        <w:rPr>
          <w:szCs w:val="21"/>
        </w:rPr>
        <w:t>要求。</w:t>
      </w:r>
    </w:p>
    <w:p>
      <w:pPr>
        <w:adjustRightInd w:val="0"/>
        <w:snapToGrid w:val="0"/>
        <w:spacing w:line="320" w:lineRule="atLeast"/>
        <w:ind w:firstLine="420" w:firstLineChars="200"/>
        <w:rPr>
          <w:szCs w:val="21"/>
        </w:rPr>
      </w:pPr>
      <w:r>
        <w:rPr>
          <w:rFonts w:hint="eastAsia"/>
          <w:szCs w:val="21"/>
        </w:rPr>
        <w:t>（1）</w:t>
      </w:r>
      <w:r>
        <w:rPr>
          <w:szCs w:val="21"/>
        </w:rPr>
        <w:t>在换证检验时，应核查空船排水量和重心纵向位置，并与已批准的稳性资料相比较，如空船排水量的偏差值超过2%，或重心纵向位置的偏差值超过1%船舶垂线间长时，则应重新进行倾斜试验。</w:t>
      </w:r>
    </w:p>
    <w:p>
      <w:pPr>
        <w:adjustRightInd w:val="0"/>
        <w:snapToGrid w:val="0"/>
        <w:spacing w:line="320" w:lineRule="atLeast"/>
        <w:ind w:firstLine="420" w:firstLineChars="200"/>
        <w:rPr>
          <w:szCs w:val="21"/>
        </w:rPr>
      </w:pPr>
      <w:r>
        <w:rPr>
          <w:rFonts w:hint="eastAsia"/>
          <w:szCs w:val="21"/>
        </w:rPr>
        <w:t>（2）</w:t>
      </w:r>
      <w:r>
        <w:rPr>
          <w:szCs w:val="21"/>
        </w:rPr>
        <w:t>船舶最大复原力臂所对应的横倾角应不小于25°，如进水角小于最大复原力臂所对应的横倾角，则进水角即为最大复原力臂所对应的横倾角。</w:t>
      </w:r>
    </w:p>
    <w:p>
      <w:pPr>
        <w:adjustRightInd w:val="0"/>
        <w:snapToGrid w:val="0"/>
        <w:spacing w:line="320" w:lineRule="atLeast"/>
        <w:ind w:firstLine="420" w:firstLineChars="200"/>
        <w:rPr>
          <w:szCs w:val="21"/>
        </w:rPr>
      </w:pPr>
      <w:r>
        <w:rPr>
          <w:rFonts w:hint="eastAsia"/>
          <w:szCs w:val="21"/>
        </w:rPr>
        <w:t>（3）</w:t>
      </w:r>
      <w:r>
        <w:rPr>
          <w:szCs w:val="21"/>
        </w:rPr>
        <w:t>对遮蔽航区的船，以下要求可作为以上要求的等效要求：</w:t>
      </w:r>
    </w:p>
    <w:p>
      <w:pPr>
        <w:adjustRightInd w:val="0"/>
        <w:snapToGrid w:val="0"/>
        <w:spacing w:line="320" w:lineRule="atLeast"/>
        <w:ind w:left="420" w:leftChars="200" w:firstLine="422" w:firstLineChars="201"/>
        <w:jc w:val="left"/>
        <w:rPr>
          <w:szCs w:val="21"/>
        </w:rPr>
      </w:pPr>
      <w:r>
        <w:rPr>
          <w:rFonts w:hint="eastAsia" w:ascii="宋体" w:hAnsi="宋体" w:cs="宋体"/>
          <w:szCs w:val="21"/>
          <w:lang w:eastAsia="ja-JP"/>
        </w:rPr>
        <w:t>①</w:t>
      </w:r>
      <w:r>
        <w:rPr>
          <w:rFonts w:hint="eastAsia" w:ascii="宋体" w:hAnsi="宋体" w:cs="宋体"/>
          <w:szCs w:val="21"/>
        </w:rPr>
        <w:t xml:space="preserve"> </w:t>
      </w:r>
      <w:r>
        <w:rPr>
          <w:szCs w:val="21"/>
        </w:rPr>
        <w:t>最大复原力臂对应的横倾角应不小于15°；</w:t>
      </w:r>
    </w:p>
    <w:p>
      <w:pPr>
        <w:adjustRightInd w:val="0"/>
        <w:snapToGrid w:val="0"/>
        <w:spacing w:line="320" w:lineRule="atLeast"/>
        <w:ind w:left="420" w:leftChars="200" w:firstLine="422" w:firstLineChars="201"/>
        <w:jc w:val="left"/>
        <w:rPr>
          <w:szCs w:val="21"/>
        </w:rPr>
      </w:pPr>
      <w:r>
        <w:rPr>
          <w:rFonts w:hint="eastAsia" w:ascii="宋体" w:hAnsi="宋体" w:cs="宋体"/>
          <w:szCs w:val="21"/>
          <w:lang w:eastAsia="ja-JP"/>
        </w:rPr>
        <w:t>②</w:t>
      </w:r>
      <w:r>
        <w:rPr>
          <w:rFonts w:hint="eastAsia" w:ascii="宋体" w:hAnsi="宋体" w:cs="宋体"/>
          <w:szCs w:val="21"/>
        </w:rPr>
        <w:t xml:space="preserve"> </w:t>
      </w:r>
      <w:r>
        <w:rPr>
          <w:szCs w:val="21"/>
        </w:rPr>
        <w:t>最大复原力臂应不小于按下式计算所得之值：</w:t>
      </w:r>
    </w:p>
    <w:p>
      <w:pPr>
        <w:adjustRightInd w:val="0"/>
        <w:snapToGrid w:val="0"/>
        <w:spacing w:line="320" w:lineRule="atLeast"/>
        <w:ind w:left="630" w:leftChars="300" w:firstLine="422" w:firstLineChars="201"/>
        <w:jc w:val="center"/>
        <w:rPr>
          <w:rFonts w:hAnsi="宋体"/>
          <w:szCs w:val="21"/>
        </w:rPr>
      </w:pPr>
      <w:r>
        <w:rPr>
          <w:rFonts w:hAnsi="宋体"/>
          <w:i/>
          <w:szCs w:val="21"/>
        </w:rPr>
        <w:t>l</w:t>
      </w:r>
      <w:r>
        <w:rPr>
          <w:rFonts w:hint="eastAsia" w:hAnsi="宋体"/>
          <w:i/>
          <w:szCs w:val="21"/>
          <w:vertAlign w:val="subscript"/>
        </w:rPr>
        <w:t xml:space="preserve">m </w:t>
      </w:r>
      <w:r>
        <w:rPr>
          <w:rFonts w:hint="eastAsia" w:hAnsi="宋体"/>
          <w:szCs w:val="21"/>
        </w:rPr>
        <w:t>=0.2+0.022（30-</w:t>
      </w:r>
      <w:r>
        <w:rPr>
          <w:rFonts w:hint="eastAsia" w:hAnsi="宋体"/>
          <w:i/>
          <w:szCs w:val="21"/>
        </w:rPr>
        <w:t>φ</w:t>
      </w:r>
      <w:r>
        <w:rPr>
          <w:rFonts w:hint="eastAsia" w:hAnsi="宋体"/>
          <w:i/>
          <w:szCs w:val="21"/>
          <w:vertAlign w:val="subscript"/>
        </w:rPr>
        <w:t>m</w:t>
      </w:r>
      <w:r>
        <w:rPr>
          <w:rFonts w:hint="eastAsia" w:hAnsi="宋体"/>
          <w:szCs w:val="21"/>
        </w:rPr>
        <w:t>）</w:t>
      </w:r>
    </w:p>
    <w:p>
      <w:pPr>
        <w:adjustRightInd w:val="0"/>
        <w:snapToGrid w:val="0"/>
        <w:spacing w:line="320" w:lineRule="atLeast"/>
        <w:ind w:left="630" w:leftChars="300" w:firstLine="422" w:firstLineChars="201"/>
        <w:jc w:val="left"/>
        <w:rPr>
          <w:rFonts w:hAnsi="宋体"/>
          <w:szCs w:val="21"/>
        </w:rPr>
      </w:pPr>
      <w:r>
        <w:rPr>
          <w:rFonts w:hint="eastAsia" w:hAnsi="宋体"/>
          <w:szCs w:val="21"/>
        </w:rPr>
        <w:t>式中：</w:t>
      </w:r>
      <w:r>
        <w:rPr>
          <w:rFonts w:hint="eastAsia" w:hAnsi="宋体"/>
          <w:i/>
          <w:szCs w:val="21"/>
        </w:rPr>
        <w:t>φ</w:t>
      </w:r>
      <w:r>
        <w:rPr>
          <w:rFonts w:hint="eastAsia" w:hAnsi="宋体"/>
          <w:i/>
          <w:szCs w:val="21"/>
          <w:vertAlign w:val="subscript"/>
        </w:rPr>
        <w:t>m</w:t>
      </w:r>
      <w:r>
        <w:rPr>
          <w:rFonts w:hint="eastAsia" w:hAnsi="宋体"/>
          <w:szCs w:val="21"/>
        </w:rPr>
        <w:t>——最大复原力臂</w:t>
      </w:r>
      <w:r>
        <w:rPr>
          <w:rFonts w:hAnsi="宋体"/>
          <w:i/>
          <w:szCs w:val="21"/>
        </w:rPr>
        <w:t>l</w:t>
      </w:r>
      <w:r>
        <w:rPr>
          <w:rFonts w:hint="eastAsia" w:hAnsi="宋体"/>
          <w:i/>
          <w:szCs w:val="21"/>
          <w:vertAlign w:val="subscript"/>
        </w:rPr>
        <w:t>m</w:t>
      </w:r>
      <w:r>
        <w:rPr>
          <w:rFonts w:hint="eastAsia" w:hAnsi="宋体"/>
          <w:szCs w:val="21"/>
        </w:rPr>
        <w:t>对应的横倾角，（°）。</w:t>
      </w:r>
    </w:p>
    <w:p>
      <w:pPr>
        <w:adjustRightInd w:val="0"/>
        <w:snapToGrid w:val="0"/>
        <w:spacing w:line="320" w:lineRule="atLeast"/>
        <w:ind w:left="420" w:leftChars="200" w:firstLine="422" w:firstLineChars="201"/>
        <w:rPr>
          <w:rFonts w:ascii="宋体" w:hAnsi="宋体" w:cs="宋体"/>
          <w:szCs w:val="21"/>
          <w:lang w:eastAsia="ja-JP"/>
        </w:rPr>
      </w:pPr>
      <w:r>
        <w:rPr>
          <w:rFonts w:hint="eastAsia" w:ascii="宋体" w:hAnsi="宋体" w:cs="宋体"/>
          <w:szCs w:val="21"/>
          <w:lang w:eastAsia="ja-JP"/>
        </w:rPr>
        <w:t xml:space="preserve">③ </w:t>
      </w:r>
      <w:r>
        <w:rPr>
          <w:rFonts w:ascii="宋体" w:hAnsi="宋体" w:cs="宋体"/>
          <w:szCs w:val="21"/>
          <w:lang w:eastAsia="ja-JP"/>
        </w:rPr>
        <w:t>进水角小于最大复原力臂所对应的横倾角时，则进水角即为最大复原力臂所对应的横倾角，进水角处的复原力臂即为最大复原力臂。</w:t>
      </w:r>
    </w:p>
    <w:p>
      <w:pPr>
        <w:adjustRightInd w:val="0"/>
        <w:snapToGrid w:val="0"/>
        <w:spacing w:line="320" w:lineRule="atLeast"/>
        <w:ind w:firstLine="420" w:firstLineChars="200"/>
        <w:rPr>
          <w:szCs w:val="21"/>
        </w:rPr>
      </w:pPr>
      <w:r>
        <w:rPr>
          <w:rFonts w:hint="eastAsia"/>
          <w:szCs w:val="21"/>
        </w:rPr>
        <w:t>（4）</w:t>
      </w:r>
      <w:r>
        <w:rPr>
          <w:szCs w:val="21"/>
        </w:rPr>
        <w:t>高速船在静水状态中，在任何允许的装载情况下受到可能产生的不可控制的乘员移动作用时，引起的横倾角应不大于12°。乘员集中一舷时，船员和乘客计算重量均按每人75kg的重量计，乘客密度可取4人/m</w:t>
      </w:r>
      <w:r>
        <w:rPr>
          <w:szCs w:val="21"/>
          <w:vertAlign w:val="superscript"/>
        </w:rPr>
        <w:t>2</w:t>
      </w:r>
      <w:r>
        <w:rPr>
          <w:szCs w:val="21"/>
        </w:rPr>
        <w:t>，其移动力矩取下列假设中的最大值：</w:t>
      </w:r>
    </w:p>
    <w:p>
      <w:pPr>
        <w:adjustRightInd w:val="0"/>
        <w:snapToGrid w:val="0"/>
        <w:spacing w:line="320" w:lineRule="atLeast"/>
        <w:ind w:left="420" w:leftChars="200" w:firstLine="422" w:firstLineChars="201"/>
        <w:jc w:val="left"/>
        <w:rPr>
          <w:szCs w:val="21"/>
          <w:lang w:eastAsia="ja-JP"/>
        </w:rPr>
      </w:pPr>
      <w:r>
        <w:rPr>
          <w:rFonts w:hint="eastAsia" w:ascii="宋体" w:hAnsi="宋体" w:cs="宋体"/>
          <w:szCs w:val="21"/>
          <w:lang w:eastAsia="ja-JP"/>
        </w:rPr>
        <w:t>①</w:t>
      </w:r>
      <w:r>
        <w:rPr>
          <w:szCs w:val="21"/>
          <w:lang w:eastAsia="ja-JP"/>
        </w:rPr>
        <w:t xml:space="preserve"> 所有乘客站在尽可能靠近一舷护舷材的铺板上；</w:t>
      </w:r>
    </w:p>
    <w:p>
      <w:pPr>
        <w:adjustRightInd w:val="0"/>
        <w:snapToGrid w:val="0"/>
        <w:spacing w:line="320" w:lineRule="atLeast"/>
        <w:ind w:left="420" w:leftChars="200" w:firstLine="422" w:firstLineChars="201"/>
        <w:jc w:val="left"/>
        <w:rPr>
          <w:szCs w:val="21"/>
          <w:lang w:eastAsia="ja-JP"/>
        </w:rPr>
      </w:pPr>
      <w:r>
        <w:rPr>
          <w:rFonts w:hint="eastAsia" w:ascii="宋体" w:hAnsi="宋体" w:cs="宋体"/>
          <w:szCs w:val="21"/>
          <w:lang w:eastAsia="ja-JP"/>
        </w:rPr>
        <w:t>②</w:t>
      </w:r>
      <w:r>
        <w:rPr>
          <w:szCs w:val="21"/>
          <w:lang w:eastAsia="ja-JP"/>
        </w:rPr>
        <w:t xml:space="preserve"> 所有乘客站在一舷离船中心线B/4处；</w:t>
      </w:r>
    </w:p>
    <w:p>
      <w:pPr>
        <w:adjustRightInd w:val="0"/>
        <w:snapToGrid w:val="0"/>
        <w:spacing w:line="320" w:lineRule="atLeast"/>
        <w:ind w:left="420" w:leftChars="200" w:firstLine="422" w:firstLineChars="201"/>
        <w:jc w:val="left"/>
        <w:rPr>
          <w:szCs w:val="21"/>
          <w:lang w:eastAsia="ja-JP"/>
        </w:rPr>
      </w:pPr>
      <w:r>
        <w:rPr>
          <w:rFonts w:hint="eastAsia" w:ascii="宋体" w:hAnsi="宋体" w:cs="宋体"/>
          <w:szCs w:val="21"/>
          <w:lang w:eastAsia="ja-JP"/>
        </w:rPr>
        <w:t>③</w:t>
      </w:r>
      <w:r>
        <w:rPr>
          <w:szCs w:val="21"/>
          <w:lang w:eastAsia="ja-JP"/>
        </w:rPr>
        <w:t xml:space="preserve"> 50%乘客坐在一舷，其余乘客站在中线面处；</w:t>
      </w:r>
    </w:p>
    <w:p>
      <w:pPr>
        <w:adjustRightInd w:val="0"/>
        <w:snapToGrid w:val="0"/>
        <w:spacing w:line="320" w:lineRule="atLeast"/>
        <w:ind w:left="420" w:leftChars="200" w:firstLine="422" w:firstLineChars="201"/>
        <w:jc w:val="left"/>
        <w:rPr>
          <w:szCs w:val="21"/>
          <w:lang w:eastAsia="ja-JP"/>
        </w:rPr>
      </w:pPr>
      <w:r>
        <w:rPr>
          <w:rFonts w:hint="eastAsia" w:ascii="宋体" w:hAnsi="宋体" w:cs="宋体"/>
          <w:szCs w:val="21"/>
          <w:lang w:eastAsia="ja-JP"/>
        </w:rPr>
        <w:t>④</w:t>
      </w:r>
      <w:r>
        <w:rPr>
          <w:szCs w:val="21"/>
          <w:lang w:eastAsia="ja-JP"/>
        </w:rPr>
        <w:t xml:space="preserve"> 在计算稳性时，应假定当班船员位于各自的工作岗位上，其他船员位于各自的舱室内，货物按正常营运条件位于货舱内或甲板上。船员和乘客的计算重心髙度应按站立状态取高出甲板或地板lm，坐者取为座位以上0.3m。</w:t>
      </w:r>
    </w:p>
    <w:p>
      <w:pPr>
        <w:adjustRightInd w:val="0"/>
        <w:snapToGrid w:val="0"/>
        <w:spacing w:line="320" w:lineRule="atLeast"/>
        <w:ind w:left="420" w:leftChars="200" w:firstLine="422" w:firstLineChars="201"/>
        <w:jc w:val="left"/>
        <w:rPr>
          <w:szCs w:val="21"/>
          <w:lang w:eastAsia="ja-JP"/>
        </w:rPr>
      </w:pPr>
      <w:r>
        <w:rPr>
          <w:rFonts w:hint="eastAsia" w:ascii="宋体" w:hAnsi="宋体" w:cs="宋体"/>
          <w:szCs w:val="21"/>
          <w:lang w:eastAsia="ja-JP"/>
        </w:rPr>
        <w:t>⑤</w:t>
      </w:r>
      <w:r>
        <w:rPr>
          <w:szCs w:val="21"/>
          <w:lang w:eastAsia="ja-JP"/>
        </w:rPr>
        <w:t xml:space="preserve"> 确定重心高度时，应计入甲板梁拱和舷弧的影响。</w:t>
      </w:r>
    </w:p>
    <w:p>
      <w:pPr>
        <w:adjustRightInd w:val="0"/>
        <w:snapToGrid w:val="0"/>
        <w:spacing w:line="320" w:lineRule="atLeast"/>
        <w:ind w:firstLine="422" w:firstLineChars="201"/>
        <w:rPr>
          <w:szCs w:val="21"/>
        </w:rPr>
      </w:pPr>
      <w:r>
        <w:rPr>
          <w:szCs w:val="21"/>
        </w:rPr>
        <w:t>6.3.3.2  对高速船还应通过实船回转试验检验船舶回转时的稳性，此时船舶横倾角不得超过12°。通过试航，测出回转横倾角小于12°时允许的航速和舵角，并将其记录在完工稳性资料中。</w:t>
      </w:r>
    </w:p>
    <w:p>
      <w:pPr>
        <w:spacing w:line="320" w:lineRule="atLeast"/>
        <w:rPr>
          <w:b/>
          <w:bCs/>
          <w:color w:val="000000"/>
        </w:rPr>
      </w:pPr>
    </w:p>
    <w:p>
      <w:pPr>
        <w:spacing w:line="320" w:lineRule="atLeast"/>
        <w:ind w:firstLine="422" w:firstLineChars="200"/>
        <w:rPr>
          <w:b/>
          <w:bCs/>
          <w:color w:val="000000"/>
        </w:rPr>
      </w:pPr>
      <w:r>
        <w:rPr>
          <w:b/>
          <w:bCs/>
          <w:color w:val="000000"/>
        </w:rPr>
        <w:t>6.3.4</w:t>
      </w:r>
      <w:r>
        <w:rPr>
          <w:rFonts w:hint="eastAsia"/>
          <w:b/>
          <w:bCs/>
          <w:color w:val="000000"/>
        </w:rPr>
        <w:t xml:space="preserve"> </w:t>
      </w:r>
      <w:r>
        <w:rPr>
          <w:b/>
          <w:bCs/>
          <w:color w:val="000000"/>
        </w:rPr>
        <w:t xml:space="preserve"> </w:t>
      </w:r>
      <w:r>
        <w:rPr>
          <w:rFonts w:hint="eastAsia"/>
          <w:b/>
          <w:bCs/>
          <w:color w:val="000000"/>
        </w:rPr>
        <w:t>横摇周期</w:t>
      </w:r>
      <w:r>
        <w:rPr>
          <w:b/>
          <w:bCs/>
          <w:color w:val="000000"/>
        </w:rPr>
        <w:t>的测定</w:t>
      </w:r>
    </w:p>
    <w:p>
      <w:pPr>
        <w:adjustRightInd w:val="0"/>
        <w:snapToGrid w:val="0"/>
        <w:spacing w:line="320" w:lineRule="atLeast"/>
        <w:ind w:firstLine="420" w:firstLineChars="200"/>
        <w:rPr>
          <w:szCs w:val="21"/>
        </w:rPr>
      </w:pPr>
      <w:r>
        <w:rPr>
          <w:color w:val="000000"/>
        </w:rPr>
        <w:t>6.3.4.1</w:t>
      </w:r>
      <w:r>
        <w:rPr>
          <w:rFonts w:hint="eastAsia"/>
          <w:color w:val="000000"/>
        </w:rPr>
        <w:t xml:space="preserve"> </w:t>
      </w:r>
      <w:r>
        <w:rPr>
          <w:color w:val="000000"/>
        </w:rPr>
        <w:t xml:space="preserve"> </w:t>
      </w:r>
      <w:r>
        <w:rPr>
          <w:szCs w:val="21"/>
        </w:rPr>
        <w:t>自由横摇周期是船舶经历一次完整自由横向摆动（即左—右—左或相反）所需的时间（</w:t>
      </w:r>
      <w:r>
        <w:rPr>
          <w:rFonts w:hint="eastAsia"/>
          <w:szCs w:val="21"/>
        </w:rPr>
        <w:t>s</w:t>
      </w:r>
      <w:r>
        <w:rPr>
          <w:szCs w:val="21"/>
        </w:rPr>
        <w:t>）。其测定方法如下：</w:t>
      </w:r>
    </w:p>
    <w:p>
      <w:pPr>
        <w:adjustRightInd w:val="0"/>
        <w:snapToGrid w:val="0"/>
        <w:spacing w:line="320" w:lineRule="atLeast"/>
        <w:ind w:firstLine="420" w:firstLineChars="200"/>
        <w:rPr>
          <w:szCs w:val="21"/>
        </w:rPr>
      </w:pPr>
      <w:r>
        <w:rPr>
          <w:rFonts w:hint="eastAsia"/>
          <w:szCs w:val="21"/>
        </w:rPr>
        <w:t>（1）</w:t>
      </w:r>
      <w:r>
        <w:rPr>
          <w:szCs w:val="21"/>
        </w:rPr>
        <w:t>试验应以船舶在港内，以及在受风和潮最小影响的在平静水域进行，风力小于蒲氏3级。水深不小于3倍空船吃水，两侧船舷距岸至少有2倍</w:t>
      </w:r>
      <w:r>
        <w:rPr>
          <w:rFonts w:hint="eastAsia"/>
          <w:szCs w:val="21"/>
        </w:rPr>
        <w:t>型宽</w:t>
      </w:r>
      <w:r>
        <w:rPr>
          <w:szCs w:val="21"/>
        </w:rPr>
        <w:t>的水域空间。</w:t>
      </w:r>
    </w:p>
    <w:p>
      <w:pPr>
        <w:adjustRightInd w:val="0"/>
        <w:snapToGrid w:val="0"/>
        <w:spacing w:line="320" w:lineRule="atLeast"/>
        <w:ind w:firstLine="420" w:firstLineChars="200"/>
        <w:rPr>
          <w:szCs w:val="21"/>
        </w:rPr>
      </w:pPr>
      <w:r>
        <w:rPr>
          <w:rFonts w:hint="eastAsia"/>
          <w:szCs w:val="21"/>
        </w:rPr>
        <w:t>（2）</w:t>
      </w:r>
      <w:r>
        <w:rPr>
          <w:szCs w:val="21"/>
        </w:rPr>
        <w:t>被测船舶应处于空载状态，油、水和其他备品的重量不得超过总载重量的10％。船上所有易滚动的物品应予以固定。系缆应</w:t>
      </w:r>
      <w:r>
        <w:rPr>
          <w:rFonts w:hint="eastAsia"/>
          <w:szCs w:val="21"/>
          <w:lang w:val="en-US" w:eastAsia="zh-CN"/>
        </w:rPr>
        <w:t>松弛</w:t>
      </w:r>
      <w:r>
        <w:rPr>
          <w:szCs w:val="21"/>
        </w:rPr>
        <w:t>，船舶应“横向离岸”，以免在其横摇阶段有任何碰触。为检查此项并同时取得能合理计数和定时的横摇数的某些概念，在开始记录实际次数前应进行预横摇试验。</w:t>
      </w:r>
    </w:p>
    <w:p>
      <w:pPr>
        <w:adjustRightInd w:val="0"/>
        <w:snapToGrid w:val="0"/>
        <w:spacing w:line="320" w:lineRule="atLeast"/>
        <w:ind w:firstLine="420" w:firstLineChars="200"/>
        <w:rPr>
          <w:szCs w:val="21"/>
        </w:rPr>
      </w:pPr>
      <w:r>
        <w:rPr>
          <w:rFonts w:hint="eastAsia"/>
          <w:szCs w:val="21"/>
        </w:rPr>
        <w:t>（3）</w:t>
      </w:r>
      <w:r>
        <w:rPr>
          <w:szCs w:val="21"/>
        </w:rPr>
        <w:t>测定前应定好计时和计次的起始点，如可在船上竖一竹杆为标杆，观测人员通过标杆定好岸上一固定目标，船进入自由横摇后，当观测人员、船上标杆和岸上固定目标三点成一线时，即开始计时和计数，计数应计完整横摇的次数。从船舶横摇到一舷（例如左舷）的极点，即将要向正浮状态摇摆开始，到摇经正浮点摆向另一舷的极点（例如右舷），再回到原先的起点（即开始下次横摇）为止，即是完成了一次完整的摇摆。</w:t>
      </w:r>
    </w:p>
    <w:p>
      <w:pPr>
        <w:adjustRightInd w:val="0"/>
        <w:snapToGrid w:val="0"/>
        <w:spacing w:line="320" w:lineRule="atLeast"/>
        <w:ind w:firstLine="420" w:firstLineChars="200"/>
        <w:rPr>
          <w:szCs w:val="21"/>
        </w:rPr>
      </w:pPr>
      <w:r>
        <w:rPr>
          <w:rFonts w:hint="eastAsia"/>
          <w:szCs w:val="21"/>
        </w:rPr>
        <w:t>（4）</w:t>
      </w:r>
      <w:r>
        <w:rPr>
          <w:szCs w:val="21"/>
        </w:rPr>
        <w:t>船舶横摇的产生可在远离中线情况下周期性地提起重物；用绳索拉动桅杆；或由1组人员一起横向跑动，或用其他方法。但是，也是最重要的，一旦强制横摇开始，导致横摇的做法应立即停止，让船舶处于自由横摇状态。如用人员或重物移动法来引起摇摆，一旦摇摆形成，人员或重物应立即停止于船艏艉中心线上，不可再移动。</w:t>
      </w:r>
    </w:p>
    <w:p>
      <w:pPr>
        <w:adjustRightInd w:val="0"/>
        <w:snapToGrid w:val="0"/>
        <w:spacing w:line="320" w:lineRule="atLeast"/>
        <w:ind w:firstLine="420" w:firstLineChars="200"/>
        <w:rPr>
          <w:szCs w:val="21"/>
        </w:rPr>
      </w:pPr>
      <w:r>
        <w:rPr>
          <w:rFonts w:hint="eastAsia"/>
          <w:szCs w:val="21"/>
        </w:rPr>
        <w:t>（5）</w:t>
      </w:r>
      <w:r>
        <w:rPr>
          <w:szCs w:val="21"/>
        </w:rPr>
        <w:t>只有断定船舶确已自由和自然地摇摆时，才可开始计时和计数。每船测定时，应重复两次以上，每次至少记录五个完整横摇及其总时间。</w:t>
      </w:r>
    </w:p>
    <w:p>
      <w:pPr>
        <w:adjustRightInd w:val="0"/>
        <w:snapToGrid w:val="0"/>
        <w:spacing w:line="320" w:lineRule="atLeast"/>
        <w:ind w:firstLine="420" w:firstLineChars="200"/>
        <w:rPr>
          <w:szCs w:val="21"/>
        </w:rPr>
      </w:pPr>
      <w:r>
        <w:rPr>
          <w:rFonts w:hint="eastAsia"/>
          <w:szCs w:val="21"/>
        </w:rPr>
        <w:t>（6）</w:t>
      </w:r>
      <w:r>
        <w:rPr>
          <w:szCs w:val="21"/>
        </w:rPr>
        <w:t>空船自由横摇周期</w:t>
      </w:r>
      <w:r>
        <w:rPr>
          <w:i/>
          <w:szCs w:val="21"/>
        </w:rPr>
        <w:t>T</w:t>
      </w:r>
      <w:r>
        <w:rPr>
          <w:i/>
          <w:szCs w:val="21"/>
          <w:vertAlign w:val="subscript"/>
        </w:rPr>
        <w:t>ө</w:t>
      </w:r>
      <w:r>
        <w:rPr>
          <w:szCs w:val="21"/>
        </w:rPr>
        <w:t>由下式计算得：</w:t>
      </w:r>
    </w:p>
    <w:p>
      <w:pPr>
        <w:adjustRightInd w:val="0"/>
        <w:snapToGrid w:val="0"/>
        <w:spacing w:line="320" w:lineRule="atLeast"/>
        <w:jc w:val="center"/>
        <w:rPr>
          <w:szCs w:val="21"/>
        </w:rPr>
      </w:pPr>
      <w:r>
        <w:rPr>
          <w:position w:val="-30"/>
          <w:szCs w:val="21"/>
        </w:rPr>
        <w:object>
          <v:shape id="_x0000_i1038" o:spt="75" type="#_x0000_t75" style="height:36pt;width:70.65pt;" o:ole="t" filled="f" o:preferrelative="t" stroked="f" coordsize="21600,21600">
            <v:path/>
            <v:fill on="f" focussize="0,0"/>
            <v:stroke on="f" joinstyle="miter"/>
            <v:imagedata r:id="rId40" o:title=""/>
            <o:lock v:ext="edit" aspectratio="t"/>
            <w10:wrap type="none"/>
            <w10:anchorlock/>
          </v:shape>
          <o:OLEObject Type="Embed" ProgID="Equation.3" ShapeID="_x0000_i1038" DrawAspect="Content" ObjectID="_1468075736" r:id="rId39">
            <o:LockedField>false</o:LockedField>
          </o:OLEObject>
        </w:object>
      </w:r>
      <w:r>
        <w:rPr>
          <w:szCs w:val="21"/>
        </w:rPr>
        <w:t xml:space="preserve">         s</w:t>
      </w:r>
    </w:p>
    <w:p>
      <w:pPr>
        <w:adjustRightInd w:val="0"/>
        <w:snapToGrid w:val="0"/>
        <w:spacing w:line="320" w:lineRule="atLeast"/>
        <w:ind w:firstLine="420" w:firstLineChars="200"/>
        <w:rPr>
          <w:szCs w:val="21"/>
        </w:rPr>
      </w:pPr>
      <w:r>
        <w:rPr>
          <w:szCs w:val="21"/>
        </w:rPr>
        <w:t>式中：</w:t>
      </w:r>
      <w:r>
        <w:rPr>
          <w:i/>
          <w:szCs w:val="21"/>
        </w:rPr>
        <w:t>N</w:t>
      </w:r>
      <w:r>
        <w:rPr>
          <w:i/>
          <w:szCs w:val="21"/>
        </w:rPr>
        <w:tab/>
      </w:r>
      <w:r>
        <w:rPr>
          <w:rFonts w:hint="eastAsia"/>
          <w:color w:val="000000"/>
          <w:kern w:val="0"/>
          <w:szCs w:val="21"/>
        </w:rPr>
        <w:t xml:space="preserve">— </w:t>
      </w:r>
      <w:r>
        <w:rPr>
          <w:szCs w:val="21"/>
        </w:rPr>
        <w:t>试验重复次数；</w:t>
      </w:r>
    </w:p>
    <w:p>
      <w:pPr>
        <w:adjustRightInd w:val="0"/>
        <w:snapToGrid w:val="0"/>
        <w:spacing w:line="320" w:lineRule="atLeast"/>
        <w:ind w:left="1050" w:leftChars="500"/>
        <w:rPr>
          <w:szCs w:val="21"/>
        </w:rPr>
      </w:pPr>
      <w:r>
        <w:rPr>
          <w:i/>
          <w:szCs w:val="21"/>
        </w:rPr>
        <w:t>n</w:t>
      </w:r>
      <w:r>
        <w:rPr>
          <w:i/>
          <w:szCs w:val="21"/>
          <w:vertAlign w:val="subscript"/>
        </w:rPr>
        <w:t>i</w:t>
      </w:r>
      <w:r>
        <w:rPr>
          <w:szCs w:val="21"/>
        </w:rPr>
        <w:t xml:space="preserve"> </w:t>
      </w:r>
      <w:r>
        <w:rPr>
          <w:rFonts w:hint="eastAsia"/>
          <w:color w:val="000000"/>
          <w:kern w:val="0"/>
          <w:szCs w:val="21"/>
        </w:rPr>
        <w:t xml:space="preserve">— </w:t>
      </w:r>
      <w:r>
        <w:rPr>
          <w:szCs w:val="21"/>
        </w:rPr>
        <w:t>每次试验记录的完整横摇数；</w:t>
      </w:r>
    </w:p>
    <w:p>
      <w:pPr>
        <w:adjustRightInd w:val="0"/>
        <w:snapToGrid w:val="0"/>
        <w:spacing w:line="320" w:lineRule="atLeast"/>
        <w:ind w:left="1050" w:leftChars="500"/>
        <w:rPr>
          <w:szCs w:val="21"/>
        </w:rPr>
      </w:pPr>
      <w:r>
        <w:rPr>
          <w:i/>
          <w:szCs w:val="21"/>
        </w:rPr>
        <w:t>t</w:t>
      </w:r>
      <w:r>
        <w:rPr>
          <w:i/>
          <w:szCs w:val="21"/>
          <w:vertAlign w:val="subscript"/>
        </w:rPr>
        <w:t>i</w:t>
      </w:r>
      <w:r>
        <w:rPr>
          <w:rFonts w:hint="eastAsia"/>
          <w:szCs w:val="21"/>
          <w:vertAlign w:val="subscript"/>
        </w:rPr>
        <w:t xml:space="preserve"> </w:t>
      </w:r>
      <w:r>
        <w:rPr>
          <w:rFonts w:hint="eastAsia"/>
          <w:color w:val="000000"/>
          <w:kern w:val="0"/>
          <w:szCs w:val="21"/>
        </w:rPr>
        <w:t xml:space="preserve"> —</w:t>
      </w:r>
      <w:r>
        <w:rPr>
          <w:szCs w:val="21"/>
        </w:rPr>
        <w:t xml:space="preserve"> 每次实验</w:t>
      </w:r>
      <w:r>
        <w:rPr>
          <w:i/>
          <w:szCs w:val="21"/>
        </w:rPr>
        <w:t>n</w:t>
      </w:r>
      <w:r>
        <w:rPr>
          <w:szCs w:val="21"/>
        </w:rPr>
        <w:t>次完整横摇的总时间，s。</w:t>
      </w:r>
    </w:p>
    <w:p>
      <w:pPr>
        <w:adjustRightInd w:val="0"/>
        <w:snapToGrid w:val="0"/>
        <w:ind w:firstLine="420" w:firstLineChars="200"/>
        <w:rPr>
          <w:color w:val="2E75B6" w:themeColor="accent1" w:themeShade="BF"/>
        </w:rPr>
      </w:pPr>
      <w:r>
        <w:rPr>
          <w:color w:val="2E75B6" w:themeColor="accent1" w:themeShade="BF"/>
        </w:rPr>
        <w:br w:type="page"/>
      </w:r>
    </w:p>
    <w:p>
      <w:pPr>
        <w:pStyle w:val="2"/>
        <w:autoSpaceDE w:val="0"/>
        <w:autoSpaceDN w:val="0"/>
        <w:snapToGrid/>
        <w:spacing w:before="240" w:after="240" w:line="240" w:lineRule="auto"/>
        <w:textAlignment w:val="baseline"/>
        <w:rPr>
          <w:bCs w:val="0"/>
          <w:szCs w:val="20"/>
        </w:rPr>
      </w:pPr>
      <w:bookmarkStart w:id="81" w:name="_Toc70411360"/>
      <w:r>
        <w:rPr>
          <w:bCs w:val="0"/>
          <w:szCs w:val="20"/>
        </w:rPr>
        <w:t>第7</w:t>
      </w:r>
      <w:r>
        <w:rPr>
          <w:rFonts w:hint="eastAsia"/>
          <w:bCs w:val="0"/>
          <w:szCs w:val="20"/>
        </w:rPr>
        <w:t>章</w:t>
      </w:r>
      <w:r>
        <w:rPr>
          <w:bCs w:val="0"/>
          <w:szCs w:val="20"/>
        </w:rPr>
        <w:t xml:space="preserve">  </w:t>
      </w:r>
      <w:r>
        <w:rPr>
          <w:rFonts w:hint="eastAsia"/>
          <w:bCs w:val="0"/>
          <w:szCs w:val="20"/>
        </w:rPr>
        <w:t>船舶设备</w:t>
      </w:r>
      <w:bookmarkEnd w:id="81"/>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82" w:name="_Toc70411361"/>
      <w:r>
        <w:rPr>
          <w:rFonts w:eastAsia="楷体"/>
          <w:b w:val="0"/>
          <w:bCs w:val="0"/>
          <w:snapToGrid w:val="0"/>
          <w:kern w:val="0"/>
          <w:sz w:val="28"/>
          <w:szCs w:val="20"/>
        </w:rPr>
        <w:t xml:space="preserve">第1节  </w:t>
      </w:r>
      <w:r>
        <w:rPr>
          <w:rFonts w:hint="eastAsia" w:eastAsia="楷体"/>
          <w:b w:val="0"/>
          <w:bCs w:val="0"/>
          <w:snapToGrid w:val="0"/>
          <w:kern w:val="0"/>
          <w:sz w:val="28"/>
          <w:szCs w:val="20"/>
        </w:rPr>
        <w:t>一般规定</w:t>
      </w:r>
      <w:bookmarkEnd w:id="82"/>
    </w:p>
    <w:p>
      <w:pPr>
        <w:spacing w:line="320" w:lineRule="atLeast"/>
        <w:ind w:firstLine="422" w:firstLineChars="200"/>
        <w:rPr>
          <w:b/>
          <w:bCs/>
          <w:color w:val="000000"/>
        </w:rPr>
      </w:pPr>
      <w:r>
        <w:rPr>
          <w:rFonts w:hint="eastAsia"/>
          <w:b/>
          <w:bCs/>
          <w:color w:val="000000"/>
        </w:rPr>
        <w:t>7</w:t>
      </w:r>
      <w:r>
        <w:rPr>
          <w:b/>
          <w:bCs/>
          <w:color w:val="000000"/>
        </w:rPr>
        <w:t>.1.1</w:t>
      </w:r>
      <w:r>
        <w:rPr>
          <w:rFonts w:hint="eastAsia"/>
          <w:b/>
          <w:bCs/>
          <w:color w:val="000000"/>
        </w:rPr>
        <w:t xml:space="preserve"> </w:t>
      </w:r>
      <w:r>
        <w:rPr>
          <w:b/>
          <w:bCs/>
          <w:color w:val="000000"/>
        </w:rPr>
        <w:t xml:space="preserve"> 一般</w:t>
      </w:r>
      <w:r>
        <w:rPr>
          <w:rFonts w:hint="eastAsia"/>
          <w:b/>
          <w:bCs/>
          <w:color w:val="000000"/>
        </w:rPr>
        <w:t>要求</w:t>
      </w:r>
    </w:p>
    <w:p>
      <w:pPr>
        <w:spacing w:line="320" w:lineRule="atLeast"/>
        <w:ind w:firstLine="420" w:firstLineChars="200"/>
        <w:rPr>
          <w:szCs w:val="21"/>
        </w:rPr>
      </w:pPr>
      <w:r>
        <w:rPr>
          <w:rFonts w:hint="eastAsia"/>
          <w:color w:val="000000"/>
        </w:rPr>
        <w:t>7</w:t>
      </w:r>
      <w:r>
        <w:rPr>
          <w:color w:val="000000"/>
        </w:rPr>
        <w:t>.1.1.1</w:t>
      </w:r>
      <w:r>
        <w:rPr>
          <w:rFonts w:hint="eastAsia"/>
          <w:color w:val="000000"/>
        </w:rPr>
        <w:t xml:space="preserve"> </w:t>
      </w:r>
      <w:r>
        <w:rPr>
          <w:color w:val="000000"/>
        </w:rPr>
        <w:t xml:space="preserve"> </w:t>
      </w:r>
      <w:r>
        <w:rPr>
          <w:rFonts w:hint="eastAsia"/>
          <w:color w:val="000000"/>
        </w:rPr>
        <w:t>本章</w:t>
      </w:r>
      <w:r>
        <w:rPr>
          <w:szCs w:val="21"/>
        </w:rPr>
        <w:t>规定了船长小于</w:t>
      </w:r>
      <w:r>
        <w:rPr>
          <w:rFonts w:hint="eastAsia"/>
          <w:szCs w:val="21"/>
        </w:rPr>
        <w:t>12m聚乙烯</w:t>
      </w:r>
      <w:r>
        <w:rPr>
          <w:szCs w:val="21"/>
        </w:rPr>
        <w:t>渔船的</w:t>
      </w:r>
      <w:r>
        <w:rPr>
          <w:rFonts w:hint="eastAsia"/>
          <w:szCs w:val="21"/>
        </w:rPr>
        <w:t>船舶设备</w:t>
      </w:r>
      <w:r>
        <w:rPr>
          <w:szCs w:val="21"/>
        </w:rPr>
        <w:t>要求</w:t>
      </w:r>
      <w:r>
        <w:rPr>
          <w:rFonts w:hint="eastAsia"/>
          <w:szCs w:val="21"/>
        </w:rPr>
        <w:t>。</w:t>
      </w:r>
    </w:p>
    <w:p>
      <w:pPr>
        <w:spacing w:line="320" w:lineRule="atLeast"/>
        <w:ind w:firstLine="420" w:firstLineChars="200"/>
        <w:rPr>
          <w:color w:val="000000"/>
        </w:rPr>
      </w:pPr>
      <w:r>
        <w:rPr>
          <w:rFonts w:hint="eastAsia"/>
          <w:color w:val="000000"/>
        </w:rPr>
        <w:t>7</w:t>
      </w:r>
      <w:r>
        <w:rPr>
          <w:color w:val="000000"/>
        </w:rPr>
        <w:t>.1.1.2</w:t>
      </w:r>
      <w:r>
        <w:rPr>
          <w:rFonts w:hint="eastAsia"/>
          <w:color w:val="000000"/>
        </w:rPr>
        <w:t xml:space="preserve"> </w:t>
      </w:r>
      <w:r>
        <w:rPr>
          <w:color w:val="000000"/>
        </w:rPr>
        <w:t xml:space="preserve"> </w:t>
      </w:r>
      <w:r>
        <w:rPr>
          <w:szCs w:val="21"/>
        </w:rPr>
        <w:t>船长</w:t>
      </w:r>
      <w:r>
        <w:rPr>
          <w:rFonts w:hint="eastAsia"/>
          <w:szCs w:val="21"/>
        </w:rPr>
        <w:t>大于</w:t>
      </w:r>
      <w:r>
        <w:rPr>
          <w:szCs w:val="21"/>
        </w:rPr>
        <w:t>或等于</w:t>
      </w:r>
      <w:r>
        <w:rPr>
          <w:rFonts w:hint="eastAsia"/>
          <w:szCs w:val="21"/>
        </w:rPr>
        <w:t>12m聚乙烯</w:t>
      </w:r>
      <w:r>
        <w:rPr>
          <w:szCs w:val="21"/>
        </w:rPr>
        <w:t>渔船的</w:t>
      </w:r>
      <w:r>
        <w:rPr>
          <w:rFonts w:hint="eastAsia"/>
          <w:szCs w:val="21"/>
        </w:rPr>
        <w:t>船舶设备</w:t>
      </w:r>
      <w:r>
        <w:rPr>
          <w:szCs w:val="21"/>
        </w:rPr>
        <w:t>要求</w:t>
      </w:r>
      <w:r>
        <w:rPr>
          <w:rFonts w:hint="eastAsia"/>
          <w:szCs w:val="21"/>
        </w:rPr>
        <w:t>应满足《国内海洋渔船法定检验技术规则（2019）</w:t>
      </w:r>
      <w:r>
        <w:rPr>
          <w:szCs w:val="21"/>
        </w:rPr>
        <w:t>》</w:t>
      </w:r>
      <w:r>
        <w:rPr>
          <w:rFonts w:hint="eastAsia"/>
          <w:szCs w:val="21"/>
        </w:rPr>
        <w:t>或《内河渔船法定检验技术规则（2019）</w:t>
      </w:r>
      <w:r>
        <w:rPr>
          <w:szCs w:val="21"/>
        </w:rPr>
        <w:t>》</w:t>
      </w:r>
      <w:r>
        <w:rPr>
          <w:rFonts w:hint="eastAsia"/>
          <w:szCs w:val="21"/>
        </w:rPr>
        <w:t>相应</w:t>
      </w:r>
      <w:r>
        <w:rPr>
          <w:szCs w:val="21"/>
        </w:rPr>
        <w:t>篇</w:t>
      </w:r>
      <w:r>
        <w:rPr>
          <w:rFonts w:hint="eastAsia"/>
          <w:szCs w:val="21"/>
        </w:rPr>
        <w:t>章的</w:t>
      </w:r>
      <w:r>
        <w:rPr>
          <w:szCs w:val="21"/>
        </w:rPr>
        <w:t>规定。</w:t>
      </w:r>
    </w:p>
    <w:p>
      <w:pPr>
        <w:spacing w:line="320" w:lineRule="atLeast"/>
        <w:ind w:firstLine="420" w:firstLineChars="200"/>
        <w:rPr>
          <w:color w:val="000000"/>
        </w:rPr>
      </w:pPr>
      <w:r>
        <w:rPr>
          <w:rFonts w:hint="eastAsia"/>
          <w:color w:val="000000"/>
        </w:rPr>
        <w:t>7</w:t>
      </w:r>
      <w:r>
        <w:rPr>
          <w:color w:val="000000"/>
        </w:rPr>
        <w:t xml:space="preserve">.1.1.3  </w:t>
      </w:r>
      <w:r>
        <w:rPr>
          <w:rFonts w:eastAsiaTheme="minorEastAsia"/>
          <w:color w:val="000000"/>
        </w:rPr>
        <w:t>本章规定的各种船舶设备，应经船舶检验机构产品检验认可。</w:t>
      </w:r>
    </w:p>
    <w:p>
      <w:pPr>
        <w:spacing w:line="320" w:lineRule="atLeast"/>
        <w:ind w:firstLine="420" w:firstLineChars="200"/>
        <w:rPr>
          <w:color w:val="000000"/>
        </w:rPr>
      </w:pPr>
      <w:r>
        <w:rPr>
          <w:rFonts w:hint="eastAsia"/>
          <w:color w:val="000000"/>
        </w:rPr>
        <w:t>7</w:t>
      </w:r>
      <w:r>
        <w:rPr>
          <w:color w:val="000000"/>
        </w:rPr>
        <w:t>.1.1.4  船舶所有人应对船舶设备定期检查，保证即刻可用。</w:t>
      </w:r>
    </w:p>
    <w:p>
      <w:pPr>
        <w:spacing w:line="320" w:lineRule="atLeast"/>
        <w:ind w:firstLine="420" w:firstLineChars="200"/>
        <w:rPr>
          <w:color w:val="000000"/>
        </w:rPr>
      </w:pPr>
    </w:p>
    <w:p>
      <w:pPr>
        <w:spacing w:line="320" w:lineRule="atLeast"/>
        <w:ind w:firstLine="422" w:firstLineChars="200"/>
        <w:rPr>
          <w:b/>
          <w:bCs/>
          <w:color w:val="000000"/>
        </w:rPr>
      </w:pPr>
      <w:r>
        <w:rPr>
          <w:rFonts w:hint="eastAsia"/>
          <w:b/>
          <w:bCs/>
          <w:color w:val="000000"/>
        </w:rPr>
        <w:t>7.1.2  舵</w:t>
      </w:r>
      <w:r>
        <w:rPr>
          <w:b/>
          <w:bCs/>
          <w:color w:val="000000"/>
        </w:rPr>
        <w:t>设备</w:t>
      </w:r>
      <w:r>
        <w:rPr>
          <w:rFonts w:hint="eastAsia"/>
          <w:b/>
          <w:bCs/>
          <w:color w:val="000000"/>
        </w:rPr>
        <w:t>、</w:t>
      </w:r>
      <w:r>
        <w:rPr>
          <w:b/>
          <w:bCs/>
          <w:color w:val="000000"/>
        </w:rPr>
        <w:t>锚泊设备</w:t>
      </w:r>
      <w:r>
        <w:rPr>
          <w:rFonts w:hint="eastAsia"/>
          <w:b/>
          <w:bCs/>
          <w:color w:val="000000"/>
        </w:rPr>
        <w:t>、</w:t>
      </w:r>
      <w:r>
        <w:rPr>
          <w:b/>
          <w:bCs/>
          <w:color w:val="000000"/>
        </w:rPr>
        <w:t>桅杆</w:t>
      </w:r>
    </w:p>
    <w:p>
      <w:pPr>
        <w:spacing w:line="320" w:lineRule="atLeast"/>
        <w:ind w:firstLine="420" w:firstLineChars="200"/>
        <w:rPr>
          <w:color w:val="000000"/>
        </w:rPr>
      </w:pPr>
      <w:r>
        <w:rPr>
          <w:rFonts w:hint="eastAsia"/>
          <w:color w:val="000000"/>
        </w:rPr>
        <w:t>7</w:t>
      </w:r>
      <w:r>
        <w:rPr>
          <w:color w:val="000000"/>
        </w:rPr>
        <w:t>.1.2.1  舵设备的材料、强度、焊接、布置和安装等应满足</w:t>
      </w:r>
      <w:r>
        <w:rPr>
          <w:rFonts w:hint="eastAsia"/>
          <w:color w:val="000000"/>
        </w:rPr>
        <w:t>《钢质国内海洋渔船建造规范（船长大于或等于</w:t>
      </w:r>
      <w:r>
        <w:rPr>
          <w:color w:val="000000"/>
        </w:rPr>
        <w:t>24</w:t>
      </w:r>
      <w:r>
        <w:rPr>
          <w:rFonts w:hint="eastAsia"/>
          <w:color w:val="000000"/>
        </w:rPr>
        <w:t>m但小于</w:t>
      </w:r>
      <w:r>
        <w:rPr>
          <w:color w:val="000000"/>
        </w:rPr>
        <w:t>90</w:t>
      </w:r>
      <w:r>
        <w:rPr>
          <w:rFonts w:hint="eastAsia"/>
          <w:color w:val="000000"/>
        </w:rPr>
        <w:t>m 2019）》或《钢质国内海洋渔船建造规范（船长大于或等于12m但小于24m 2019）》或《渔业船舶</w:t>
      </w:r>
      <w:r>
        <w:rPr>
          <w:color w:val="000000"/>
        </w:rPr>
        <w:t>法定</w:t>
      </w:r>
      <w:r>
        <w:rPr>
          <w:rFonts w:hint="eastAsia"/>
          <w:color w:val="000000"/>
        </w:rPr>
        <w:t>检验</w:t>
      </w:r>
      <w:r>
        <w:rPr>
          <w:color w:val="000000"/>
        </w:rPr>
        <w:t>规则</w:t>
      </w:r>
      <w:r>
        <w:rPr>
          <w:rFonts w:hint="eastAsia"/>
          <w:color w:val="000000"/>
        </w:rPr>
        <w:t>（2002）》</w:t>
      </w:r>
      <w:r>
        <w:rPr>
          <w:color w:val="000000"/>
        </w:rPr>
        <w:t>的</w:t>
      </w:r>
      <w:r>
        <w:rPr>
          <w:rFonts w:hint="eastAsia"/>
          <w:color w:val="000000"/>
        </w:rPr>
        <w:t>相关</w:t>
      </w:r>
      <w:r>
        <w:rPr>
          <w:color w:val="000000"/>
        </w:rPr>
        <w:t>要求。</w:t>
      </w:r>
    </w:p>
    <w:p>
      <w:pPr>
        <w:spacing w:line="320" w:lineRule="atLeast"/>
        <w:ind w:firstLine="420" w:firstLineChars="200"/>
        <w:rPr>
          <w:color w:val="000000"/>
        </w:rPr>
      </w:pPr>
      <w:r>
        <w:rPr>
          <w:rFonts w:hint="eastAsia"/>
          <w:color w:val="000000"/>
        </w:rPr>
        <w:t>7</w:t>
      </w:r>
      <w:r>
        <w:rPr>
          <w:color w:val="000000"/>
        </w:rPr>
        <w:t xml:space="preserve">.1.2.2  </w:t>
      </w:r>
      <w:r>
        <w:rPr>
          <w:color w:val="000000"/>
          <w:lang w:val="zh-CN"/>
        </w:rPr>
        <w:t>船舶一般应配备适当的锚泊设备</w:t>
      </w:r>
      <w:r>
        <w:rPr>
          <w:rFonts w:hint="eastAsia"/>
          <w:color w:val="000000"/>
          <w:lang w:val="zh-CN"/>
        </w:rPr>
        <w:t>，并</w:t>
      </w:r>
      <w:r>
        <w:rPr>
          <w:color w:val="000000"/>
          <w:lang w:val="zh-CN"/>
        </w:rPr>
        <w:t>配备系船索和相应的系缆设备</w:t>
      </w:r>
      <w:r>
        <w:rPr>
          <w:rFonts w:hint="eastAsia"/>
          <w:color w:val="000000"/>
          <w:lang w:val="zh-CN"/>
        </w:rPr>
        <w:t>。</w:t>
      </w:r>
    </w:p>
    <w:p>
      <w:pPr>
        <w:spacing w:line="320" w:lineRule="atLeast"/>
        <w:ind w:firstLine="420" w:firstLineChars="200"/>
        <w:rPr>
          <w:color w:val="000000"/>
        </w:rPr>
      </w:pPr>
      <w:r>
        <w:rPr>
          <w:rFonts w:hint="eastAsia"/>
          <w:color w:val="000000"/>
        </w:rPr>
        <w:t>7</w:t>
      </w:r>
      <w:r>
        <w:rPr>
          <w:color w:val="000000"/>
        </w:rPr>
        <w:t xml:space="preserve">.1.2.3  </w:t>
      </w:r>
      <w:r>
        <w:rPr>
          <w:lang w:val="zh-CN"/>
        </w:rPr>
        <w:t>桅杆应被牢固支撑，支撑点处的结构应适当加强。</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83" w:name="_Toc70411362"/>
      <w:bookmarkStart w:id="84" w:name="_Toc531792604"/>
      <w:bookmarkStart w:id="85" w:name="_Toc228010438"/>
      <w:r>
        <w:rPr>
          <w:rFonts w:hint="eastAsia" w:eastAsia="楷体"/>
          <w:b w:val="0"/>
          <w:bCs w:val="0"/>
          <w:snapToGrid w:val="0"/>
          <w:kern w:val="0"/>
          <w:sz w:val="28"/>
          <w:szCs w:val="20"/>
        </w:rPr>
        <w:t>第2节  救生设备</w:t>
      </w:r>
      <w:bookmarkEnd w:id="83"/>
      <w:bookmarkEnd w:id="84"/>
      <w:bookmarkEnd w:id="85"/>
    </w:p>
    <w:p>
      <w:pPr>
        <w:spacing w:line="320" w:lineRule="atLeast"/>
        <w:ind w:firstLine="422" w:firstLineChars="200"/>
        <w:rPr>
          <w:b/>
          <w:bCs/>
          <w:color w:val="000000"/>
        </w:rPr>
      </w:pPr>
      <w:r>
        <w:rPr>
          <w:rFonts w:hint="eastAsia"/>
          <w:b/>
          <w:bCs/>
          <w:color w:val="000000"/>
        </w:rPr>
        <w:t>7.2.1  救生圈</w:t>
      </w:r>
    </w:p>
    <w:p>
      <w:pPr>
        <w:adjustRightInd w:val="0"/>
        <w:snapToGrid w:val="0"/>
        <w:ind w:firstLine="420" w:firstLineChars="200"/>
      </w:pPr>
      <w:r>
        <w:rPr>
          <w:rFonts w:hint="eastAsia"/>
        </w:rPr>
        <w:t>7.2.1.1  每艘船舶至少应当配置1个救生圈。</w:t>
      </w:r>
    </w:p>
    <w:p>
      <w:pPr>
        <w:adjustRightInd w:val="0"/>
        <w:snapToGrid w:val="0"/>
        <w:ind w:firstLine="420" w:firstLineChars="200"/>
      </w:pPr>
      <w:r>
        <w:rPr>
          <w:rFonts w:hint="eastAsia"/>
        </w:rPr>
        <w:t>7.2.1.2  救生圈应存放在易于取用之处。</w:t>
      </w:r>
    </w:p>
    <w:p>
      <w:pPr>
        <w:adjustRightInd w:val="0"/>
        <w:snapToGrid w:val="0"/>
        <w:ind w:firstLine="420" w:firstLineChars="200"/>
      </w:pPr>
      <w:r>
        <w:rPr>
          <w:rFonts w:hint="eastAsia"/>
        </w:rPr>
        <w:t>7.2.1.3  救生圈上应标记船名和船籍港。</w:t>
      </w:r>
    </w:p>
    <w:p>
      <w:pPr>
        <w:adjustRightInd w:val="0"/>
        <w:snapToGrid w:val="0"/>
        <w:ind w:firstLine="420" w:firstLineChars="200"/>
      </w:pPr>
    </w:p>
    <w:p>
      <w:pPr>
        <w:spacing w:line="320" w:lineRule="atLeast"/>
        <w:ind w:firstLine="422" w:firstLineChars="200"/>
        <w:rPr>
          <w:b/>
          <w:bCs/>
          <w:color w:val="000000"/>
        </w:rPr>
      </w:pPr>
      <w:r>
        <w:rPr>
          <w:rFonts w:hint="eastAsia"/>
          <w:b/>
          <w:bCs/>
          <w:color w:val="000000"/>
        </w:rPr>
        <w:t>7.2.2  救生衣</w:t>
      </w:r>
    </w:p>
    <w:p>
      <w:pPr>
        <w:adjustRightInd w:val="0"/>
        <w:snapToGrid w:val="0"/>
        <w:ind w:firstLine="420" w:firstLineChars="200"/>
      </w:pPr>
      <w:r>
        <w:rPr>
          <w:rFonts w:hint="eastAsia"/>
        </w:rPr>
        <w:t>7.2.2.1  船上每人应配备1件救生衣。</w:t>
      </w:r>
    </w:p>
    <w:p>
      <w:pPr>
        <w:adjustRightInd w:val="0"/>
        <w:snapToGrid w:val="0"/>
        <w:ind w:firstLine="420" w:firstLineChars="200"/>
      </w:pPr>
      <w:r>
        <w:rPr>
          <w:rFonts w:hint="eastAsia"/>
        </w:rPr>
        <w:t>7.2.2.2  航行作业于沿海航区的船舶，其配备的救生衣应配备经</w:t>
      </w:r>
      <w:r>
        <w:t>产品检验</w:t>
      </w:r>
      <w:r>
        <w:rPr>
          <w:rFonts w:hint="eastAsia"/>
        </w:rPr>
        <w:t>认可的救生衣灯。救生衣灯应牢固地系在救生衣的前肩部区域。</w:t>
      </w:r>
    </w:p>
    <w:p>
      <w:pPr>
        <w:adjustRightInd w:val="0"/>
        <w:snapToGrid w:val="0"/>
        <w:ind w:firstLine="420" w:firstLineChars="200"/>
      </w:pPr>
      <w:r>
        <w:rPr>
          <w:rFonts w:hint="eastAsia"/>
        </w:rPr>
        <w:t>7.2.2.3  航行作业于遮蔽航区及内河水域的船舶，其配备的救生衣可用工作救生衣代替。</w:t>
      </w:r>
    </w:p>
    <w:p>
      <w:pPr>
        <w:adjustRightInd w:val="0"/>
        <w:snapToGrid w:val="0"/>
        <w:ind w:firstLine="420" w:firstLineChars="200"/>
      </w:pPr>
      <w:r>
        <w:rPr>
          <w:rFonts w:hint="eastAsia"/>
        </w:rPr>
        <w:t>7.2.2.4  救生衣应存放在易于取用之处，并清楚标识其存放位置。</w:t>
      </w:r>
    </w:p>
    <w:p>
      <w:pPr>
        <w:adjustRightInd w:val="0"/>
        <w:snapToGrid w:val="0"/>
        <w:ind w:firstLine="420" w:firstLineChars="200"/>
      </w:pPr>
    </w:p>
    <w:p>
      <w:pPr>
        <w:spacing w:line="320" w:lineRule="atLeast"/>
        <w:ind w:firstLine="422" w:firstLineChars="200"/>
        <w:rPr>
          <w:b/>
          <w:bCs/>
          <w:color w:val="000000"/>
        </w:rPr>
      </w:pPr>
      <w:r>
        <w:rPr>
          <w:rFonts w:hint="eastAsia"/>
          <w:b/>
          <w:bCs/>
          <w:color w:val="000000"/>
        </w:rPr>
        <w:t>7.2.3  遇险信号</w:t>
      </w:r>
    </w:p>
    <w:p>
      <w:pPr>
        <w:adjustRightInd w:val="0"/>
        <w:snapToGrid w:val="0"/>
        <w:ind w:firstLine="420" w:firstLineChars="200"/>
      </w:pPr>
      <w:r>
        <w:rPr>
          <w:rFonts w:hint="eastAsia"/>
        </w:rPr>
        <w:t>7.2.3.1  航行作业于沿海航区的船长小于12m海洋渔船，至少应配备4支降落伞火箭信号。</w:t>
      </w:r>
    </w:p>
    <w:p>
      <w:pPr>
        <w:adjustRightInd w:val="0"/>
        <w:snapToGrid w:val="0"/>
        <w:ind w:firstLine="420" w:firstLineChars="200"/>
      </w:pPr>
      <w:r>
        <w:rPr>
          <w:rFonts w:hint="eastAsia"/>
        </w:rPr>
        <w:t>7.2.3.2  航行作业于遮蔽航区的船长小于12m海洋渔船，至少应配备2支降落伞火箭信号。</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86" w:name="_Toc228010439"/>
      <w:bookmarkStart w:id="87" w:name="_Toc531792605"/>
      <w:bookmarkStart w:id="88" w:name="_Toc70411363"/>
      <w:r>
        <w:rPr>
          <w:rFonts w:hint="eastAsia" w:eastAsia="楷体"/>
          <w:b w:val="0"/>
          <w:bCs w:val="0"/>
          <w:snapToGrid w:val="0"/>
          <w:kern w:val="0"/>
          <w:sz w:val="28"/>
          <w:szCs w:val="20"/>
        </w:rPr>
        <w:t xml:space="preserve">第3节 </w:t>
      </w:r>
      <w:r>
        <w:rPr>
          <w:rFonts w:eastAsia="楷体"/>
          <w:b w:val="0"/>
          <w:bCs w:val="0"/>
          <w:snapToGrid w:val="0"/>
          <w:kern w:val="0"/>
          <w:sz w:val="28"/>
          <w:szCs w:val="20"/>
        </w:rPr>
        <w:t xml:space="preserve"> </w:t>
      </w:r>
      <w:r>
        <w:rPr>
          <w:rFonts w:hint="eastAsia" w:eastAsia="楷体"/>
          <w:b w:val="0"/>
          <w:bCs w:val="0"/>
          <w:snapToGrid w:val="0"/>
          <w:kern w:val="0"/>
          <w:sz w:val="28"/>
          <w:szCs w:val="20"/>
        </w:rPr>
        <w:t>消防设备</w:t>
      </w:r>
      <w:bookmarkEnd w:id="86"/>
      <w:bookmarkEnd w:id="87"/>
      <w:bookmarkEnd w:id="88"/>
    </w:p>
    <w:p>
      <w:pPr>
        <w:adjustRightInd w:val="0"/>
        <w:snapToGrid w:val="0"/>
        <w:ind w:firstLine="422" w:firstLineChars="200"/>
        <w:rPr>
          <w:rFonts w:eastAsiaTheme="minorEastAsia"/>
          <w:b/>
        </w:rPr>
      </w:pPr>
      <w:r>
        <w:rPr>
          <w:rFonts w:eastAsiaTheme="minorEastAsia"/>
          <w:b/>
        </w:rPr>
        <w:t>7.3.1  消防用品</w:t>
      </w:r>
    </w:p>
    <w:p>
      <w:pPr>
        <w:adjustRightInd w:val="0"/>
        <w:snapToGrid w:val="0"/>
        <w:ind w:firstLine="420" w:firstLineChars="200"/>
        <w:rPr>
          <w:rFonts w:eastAsiaTheme="minorEastAsia"/>
        </w:rPr>
      </w:pPr>
      <w:r>
        <w:rPr>
          <w:rFonts w:eastAsiaTheme="minorEastAsia"/>
        </w:rPr>
        <w:t>7.3.1.1  每艘船舶至少应配备2具干粉或CO</w:t>
      </w:r>
      <w:r>
        <w:rPr>
          <w:rFonts w:eastAsiaTheme="minorEastAsia"/>
          <w:vertAlign w:val="subscript"/>
        </w:rPr>
        <w:t>2</w:t>
      </w:r>
      <w:r>
        <w:rPr>
          <w:rFonts w:eastAsiaTheme="minorEastAsia"/>
        </w:rPr>
        <w:t>手提灭火器；1个带适当长度绳子的消防水桶；1把太平斧。消防水桶和太平斧可分别用生活用水桶和生活用斧代替。</w:t>
      </w:r>
    </w:p>
    <w:p>
      <w:pPr>
        <w:adjustRightInd w:val="0"/>
        <w:snapToGrid w:val="0"/>
        <w:ind w:firstLine="420" w:firstLineChars="200"/>
        <w:rPr>
          <w:rFonts w:eastAsiaTheme="minorEastAsia"/>
        </w:rPr>
      </w:pPr>
      <w:r>
        <w:rPr>
          <w:rFonts w:eastAsiaTheme="minorEastAsia"/>
        </w:rPr>
        <w:t>7.3.1.2  驾驶室应配备1具干粉灭火器。</w:t>
      </w:r>
    </w:p>
    <w:p>
      <w:pPr>
        <w:adjustRightInd w:val="0"/>
        <w:snapToGrid w:val="0"/>
        <w:ind w:firstLine="420" w:firstLineChars="200"/>
        <w:rPr>
          <w:rFonts w:eastAsiaTheme="minorEastAsia"/>
        </w:rPr>
      </w:pPr>
      <w:r>
        <w:rPr>
          <w:rFonts w:eastAsiaTheme="minorEastAsia"/>
        </w:rPr>
        <w:t>7.3.1.3  机器处所应配备2具干粉灭火器或1具泡沫灭火器。当主机功率小于30kW时，可减少1具。</w:t>
      </w:r>
    </w:p>
    <w:p>
      <w:pPr>
        <w:adjustRightInd w:val="0"/>
        <w:snapToGrid w:val="0"/>
        <w:ind w:firstLine="420" w:firstLineChars="200"/>
        <w:rPr>
          <w:rFonts w:eastAsiaTheme="minorEastAsia"/>
        </w:rPr>
      </w:pPr>
      <w:r>
        <w:rPr>
          <w:rFonts w:eastAsiaTheme="minorEastAsia"/>
        </w:rPr>
        <w:t>7.3.1.4  船上配置的灭火器应满足下列规定：</w:t>
      </w:r>
    </w:p>
    <w:p>
      <w:pPr>
        <w:adjustRightInd w:val="0"/>
        <w:snapToGrid w:val="0"/>
        <w:ind w:firstLine="420" w:firstLineChars="200"/>
        <w:rPr>
          <w:rFonts w:eastAsiaTheme="minorEastAsia"/>
        </w:rPr>
      </w:pPr>
      <w:r>
        <w:rPr>
          <w:rFonts w:eastAsiaTheme="minorEastAsia"/>
        </w:rPr>
        <w:t>（1）每具CO</w:t>
      </w:r>
      <w:r>
        <w:rPr>
          <w:rFonts w:eastAsiaTheme="minorEastAsia"/>
          <w:vertAlign w:val="subscript"/>
        </w:rPr>
        <w:t>2</w:t>
      </w:r>
      <w:r>
        <w:rPr>
          <w:rFonts w:eastAsiaTheme="minorEastAsia"/>
        </w:rPr>
        <w:t>灭火器的最小容量应不小于2kg，每具干粉灭火器的最小容量应不小于2kg，每具泡沫灭火器至少具有9L的容量。</w:t>
      </w:r>
    </w:p>
    <w:p>
      <w:pPr>
        <w:adjustRightInd w:val="0"/>
        <w:snapToGrid w:val="0"/>
        <w:ind w:firstLine="420" w:firstLineChars="200"/>
        <w:rPr>
          <w:rFonts w:eastAsiaTheme="minorEastAsia"/>
        </w:rPr>
      </w:pPr>
      <w:r>
        <w:rPr>
          <w:rFonts w:eastAsiaTheme="minorEastAsia"/>
        </w:rPr>
        <w:t>（2）灭火器应放在便于取用的地方。</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89" w:name="_Toc228010440"/>
      <w:bookmarkStart w:id="90" w:name="_Toc531792606"/>
      <w:bookmarkStart w:id="91" w:name="_Toc70411364"/>
      <w:r>
        <w:rPr>
          <w:rFonts w:hint="eastAsia" w:eastAsia="楷体"/>
          <w:b w:val="0"/>
          <w:bCs w:val="0"/>
          <w:snapToGrid w:val="0"/>
          <w:kern w:val="0"/>
          <w:sz w:val="28"/>
          <w:szCs w:val="20"/>
        </w:rPr>
        <w:t xml:space="preserve">第4节 </w:t>
      </w:r>
      <w:r>
        <w:rPr>
          <w:rFonts w:eastAsia="楷体"/>
          <w:b w:val="0"/>
          <w:bCs w:val="0"/>
          <w:snapToGrid w:val="0"/>
          <w:kern w:val="0"/>
          <w:sz w:val="28"/>
          <w:szCs w:val="20"/>
        </w:rPr>
        <w:t xml:space="preserve"> </w:t>
      </w:r>
      <w:r>
        <w:rPr>
          <w:rFonts w:hint="eastAsia" w:eastAsia="楷体"/>
          <w:b w:val="0"/>
          <w:bCs w:val="0"/>
          <w:snapToGrid w:val="0"/>
          <w:kern w:val="0"/>
          <w:sz w:val="28"/>
          <w:szCs w:val="20"/>
        </w:rPr>
        <w:t>航行和信号设备</w:t>
      </w:r>
      <w:bookmarkEnd w:id="89"/>
      <w:bookmarkEnd w:id="90"/>
      <w:bookmarkEnd w:id="91"/>
    </w:p>
    <w:p>
      <w:pPr>
        <w:spacing w:line="320" w:lineRule="atLeast"/>
        <w:ind w:firstLine="422" w:firstLineChars="200"/>
        <w:rPr>
          <w:b/>
          <w:bCs/>
          <w:color w:val="000000"/>
        </w:rPr>
      </w:pPr>
      <w:r>
        <w:rPr>
          <w:rFonts w:hint="eastAsia"/>
          <w:b/>
          <w:bCs/>
          <w:color w:val="000000"/>
        </w:rPr>
        <w:t>7</w:t>
      </w:r>
      <w:r>
        <w:rPr>
          <w:b/>
          <w:bCs/>
          <w:color w:val="000000"/>
        </w:rPr>
        <w:t>.4.</w:t>
      </w:r>
      <w:r>
        <w:rPr>
          <w:rFonts w:hint="eastAsia"/>
          <w:b/>
          <w:bCs/>
          <w:color w:val="000000"/>
        </w:rPr>
        <w:t xml:space="preserve">1 </w:t>
      </w:r>
      <w:r>
        <w:rPr>
          <w:b/>
          <w:bCs/>
          <w:color w:val="000000"/>
        </w:rPr>
        <w:t xml:space="preserve"> 航行设备</w:t>
      </w:r>
    </w:p>
    <w:p>
      <w:pPr>
        <w:adjustRightInd w:val="0"/>
        <w:snapToGrid w:val="0"/>
        <w:ind w:firstLine="420" w:firstLineChars="200"/>
      </w:pPr>
      <w:r>
        <w:rPr>
          <w:rFonts w:hint="eastAsia"/>
        </w:rPr>
        <w:t>7.4.1.1  应配有测深手锤或测深杆。</w:t>
      </w:r>
    </w:p>
    <w:p>
      <w:pPr>
        <w:adjustRightInd w:val="0"/>
        <w:snapToGrid w:val="0"/>
        <w:ind w:firstLine="420" w:firstLineChars="200"/>
      </w:pPr>
      <w:r>
        <w:rPr>
          <w:rFonts w:hint="eastAsia"/>
        </w:rPr>
        <w:t>7.4.1.2  需夜间航行的船舶应配备探照灯。</w:t>
      </w:r>
    </w:p>
    <w:p>
      <w:pPr>
        <w:adjustRightInd w:val="0"/>
        <w:snapToGrid w:val="0"/>
        <w:ind w:firstLine="420" w:firstLineChars="200"/>
      </w:pPr>
      <w:r>
        <w:rPr>
          <w:rFonts w:hint="eastAsia"/>
        </w:rPr>
        <w:t>7.4.1.3  航行作业于沿海航区的国内海洋渔船应配备1台磁罗经或指南针。</w:t>
      </w:r>
    </w:p>
    <w:p>
      <w:pPr>
        <w:spacing w:line="320" w:lineRule="atLeast"/>
        <w:ind w:firstLine="420" w:firstLineChars="200"/>
        <w:rPr>
          <w:color w:val="000000"/>
        </w:rPr>
      </w:pPr>
    </w:p>
    <w:p>
      <w:pPr>
        <w:spacing w:line="320" w:lineRule="atLeast"/>
        <w:ind w:firstLine="422" w:firstLineChars="200"/>
        <w:rPr>
          <w:b/>
          <w:bCs/>
          <w:color w:val="000000"/>
        </w:rPr>
      </w:pPr>
      <w:bookmarkStart w:id="92" w:name="_Toc531950875"/>
      <w:bookmarkStart w:id="93" w:name="_Toc521426857"/>
      <w:bookmarkStart w:id="94" w:name="_Toc531792608"/>
      <w:bookmarkStart w:id="95" w:name="_Toc228010442"/>
      <w:r>
        <w:rPr>
          <w:rFonts w:hint="eastAsia"/>
          <w:b/>
          <w:bCs/>
          <w:color w:val="000000"/>
        </w:rPr>
        <w:t>7.4.2  信号设备</w:t>
      </w:r>
    </w:p>
    <w:p>
      <w:pPr>
        <w:adjustRightInd w:val="0"/>
        <w:snapToGrid w:val="0"/>
        <w:ind w:firstLine="420" w:firstLineChars="200"/>
      </w:pPr>
      <w:r>
        <w:rPr>
          <w:rFonts w:hint="eastAsia"/>
        </w:rPr>
        <w:t>7.4.2.1  除本节规定外，信号设备性能还应符合本局的有关规定。</w:t>
      </w:r>
    </w:p>
    <w:p>
      <w:pPr>
        <w:adjustRightInd w:val="0"/>
        <w:snapToGrid w:val="0"/>
        <w:ind w:firstLine="420" w:firstLineChars="200"/>
      </w:pPr>
      <w:r>
        <w:rPr>
          <w:rFonts w:hint="eastAsia"/>
        </w:rPr>
        <w:t>7.4.2.2  桅灯最小能见距离为2n mile；舷灯最小能见距离为1n mile；其它基本号灯及渔船作业号灯的最小能见距离为2n mile。渔船额外号灯的最小能见距离为1n mile，且不要大于2n mile。</w:t>
      </w:r>
    </w:p>
    <w:p>
      <w:pPr>
        <w:spacing w:line="320" w:lineRule="atLeast"/>
        <w:ind w:firstLine="420" w:firstLineChars="200"/>
      </w:pPr>
      <w:r>
        <w:rPr>
          <w:rFonts w:hint="eastAsia"/>
        </w:rPr>
        <w:t>7.4.2.3  船长小于12m海洋渔船信号设备的配备应符合表7.4.2.3的规定。</w:t>
      </w:r>
    </w:p>
    <w:p>
      <w:pPr>
        <w:spacing w:line="320" w:lineRule="atLeast"/>
        <w:rPr>
          <w:szCs w:val="21"/>
        </w:rPr>
      </w:pPr>
    </w:p>
    <w:p>
      <w:pPr>
        <w:wordWrap w:val="0"/>
        <w:adjustRightInd w:val="0"/>
        <w:snapToGrid w:val="0"/>
        <w:spacing w:line="320" w:lineRule="atLeast"/>
        <w:ind w:left="420" w:leftChars="200" w:firstLine="317" w:firstLineChars="151"/>
        <w:jc w:val="right"/>
        <w:rPr>
          <w:rFonts w:eastAsia="黑体"/>
          <w:szCs w:val="21"/>
        </w:rPr>
      </w:pPr>
      <w:r>
        <w:rPr>
          <w:rFonts w:hint="eastAsia" w:eastAsia="黑体"/>
          <w:szCs w:val="21"/>
        </w:rPr>
        <w:t xml:space="preserve">船长小于12m海洋渔船信号设备的配备        </w:t>
      </w:r>
      <w:r>
        <w:rPr>
          <w:rFonts w:eastAsia="黑体"/>
          <w:szCs w:val="21"/>
        </w:rPr>
        <w:t xml:space="preserve">     表</w:t>
      </w:r>
      <w:r>
        <w:rPr>
          <w:rFonts w:hint="eastAsia" w:eastAsia="黑体"/>
          <w:szCs w:val="21"/>
        </w:rPr>
        <w:t>7</w:t>
      </w:r>
      <w:r>
        <w:rPr>
          <w:rFonts w:eastAsia="黑体"/>
          <w:szCs w:val="21"/>
        </w:rPr>
        <w:t>.4.2.3</w:t>
      </w:r>
    </w:p>
    <w:tbl>
      <w:tblPr>
        <w:tblStyle w:val="15"/>
        <w:tblW w:w="8425" w:type="dxa"/>
        <w:tblInd w:w="43" w:type="dxa"/>
        <w:tblLayout w:type="fixed"/>
        <w:tblCellMar>
          <w:top w:w="0" w:type="dxa"/>
          <w:left w:w="0" w:type="dxa"/>
          <w:bottom w:w="0" w:type="dxa"/>
          <w:right w:w="0" w:type="dxa"/>
        </w:tblCellMar>
      </w:tblPr>
      <w:tblGrid>
        <w:gridCol w:w="875"/>
        <w:gridCol w:w="663"/>
        <w:gridCol w:w="1712"/>
        <w:gridCol w:w="888"/>
        <w:gridCol w:w="4287"/>
      </w:tblGrid>
      <w:tr>
        <w:tblPrEx>
          <w:tblCellMar>
            <w:top w:w="0" w:type="dxa"/>
            <w:left w:w="0" w:type="dxa"/>
            <w:bottom w:w="0" w:type="dxa"/>
            <w:right w:w="0" w:type="dxa"/>
          </w:tblCellMar>
        </w:tblPrEx>
        <w:trPr>
          <w:trHeight w:val="660" w:hRule="atLeast"/>
        </w:trPr>
        <w:tc>
          <w:tcPr>
            <w:tcW w:w="87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设备种类</w:t>
            </w:r>
          </w:p>
        </w:tc>
        <w:tc>
          <w:tcPr>
            <w:tcW w:w="66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序号</w:t>
            </w:r>
          </w:p>
        </w:tc>
        <w:tc>
          <w:tcPr>
            <w:tcW w:w="171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设备名称</w:t>
            </w:r>
          </w:p>
        </w:tc>
        <w:tc>
          <w:tcPr>
            <w:tcW w:w="888"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i/>
                <w:iCs/>
                <w:sz w:val="18"/>
                <w:szCs w:val="18"/>
              </w:rPr>
            </w:pPr>
            <w:r>
              <w:rPr>
                <w:iCs/>
                <w:sz w:val="18"/>
                <w:szCs w:val="18"/>
              </w:rPr>
              <w:t>配备数量</w:t>
            </w:r>
          </w:p>
        </w:tc>
        <w:tc>
          <w:tcPr>
            <w:tcW w:w="4287"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备   注</w:t>
            </w:r>
          </w:p>
        </w:tc>
      </w:tr>
      <w:tr>
        <w:tblPrEx>
          <w:tblCellMar>
            <w:top w:w="0" w:type="dxa"/>
            <w:left w:w="0" w:type="dxa"/>
            <w:bottom w:w="0" w:type="dxa"/>
            <w:right w:w="0" w:type="dxa"/>
          </w:tblCellMar>
        </w:tblPrEx>
        <w:tc>
          <w:tcPr>
            <w:tcW w:w="875" w:type="dxa"/>
            <w:vMerge w:val="restart"/>
            <w:tcBorders>
              <w:top w:val="single" w:color="auto" w:sz="4" w:space="0"/>
              <w:left w:val="single" w:color="auto" w:sz="4" w:space="0"/>
              <w:bottom w:val="single" w:color="000000" w:sz="4" w:space="0"/>
              <w:right w:val="single" w:color="auto" w:sz="4" w:space="0"/>
            </w:tcBorders>
            <w:textDirection w:val="tbRlV"/>
            <w:vAlign w:val="center"/>
          </w:tcPr>
          <w:p>
            <w:pPr>
              <w:adjustRightInd w:val="0"/>
              <w:snapToGrid w:val="0"/>
              <w:spacing w:line="320" w:lineRule="atLeast"/>
              <w:ind w:left="113" w:right="113"/>
              <w:jc w:val="center"/>
              <w:rPr>
                <w:sz w:val="18"/>
                <w:szCs w:val="18"/>
              </w:rPr>
            </w:pPr>
            <w:r>
              <w:rPr>
                <w:sz w:val="18"/>
                <w:szCs w:val="18"/>
              </w:rPr>
              <w:t>号灯</w:t>
            </w:r>
          </w:p>
        </w:tc>
        <w:tc>
          <w:tcPr>
            <w:tcW w:w="66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171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桅灯（白色）</w:t>
            </w:r>
          </w:p>
        </w:tc>
        <w:tc>
          <w:tcPr>
            <w:tcW w:w="888"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4287"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1、航行灯，装于桅顶；</w:t>
            </w:r>
          </w:p>
        </w:tc>
      </w:tr>
      <w:tr>
        <w:tblPrEx>
          <w:tblCellMar>
            <w:top w:w="0" w:type="dxa"/>
            <w:left w:w="0" w:type="dxa"/>
            <w:bottom w:w="0" w:type="dxa"/>
            <w:right w:w="0" w:type="dxa"/>
          </w:tblCellMar>
        </w:tblPrEx>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2</w:t>
            </w:r>
          </w:p>
        </w:tc>
        <w:tc>
          <w:tcPr>
            <w:tcW w:w="1712"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左舷灯（红色）</w:t>
            </w:r>
          </w:p>
        </w:tc>
        <w:tc>
          <w:tcPr>
            <w:tcW w:w="888"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4287"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1、航行灯，装于最高甲板左舷；</w:t>
            </w:r>
          </w:p>
          <w:p>
            <w:pPr>
              <w:adjustRightInd w:val="0"/>
              <w:snapToGrid w:val="0"/>
              <w:spacing w:line="320" w:lineRule="atLeast"/>
              <w:rPr>
                <w:sz w:val="18"/>
                <w:szCs w:val="18"/>
              </w:rPr>
            </w:pPr>
            <w:r>
              <w:rPr>
                <w:sz w:val="18"/>
                <w:szCs w:val="18"/>
              </w:rPr>
              <w:t>2、除拖带和顶推船外，可用1盏双色灯代替左舷灯与右舷灯。</w:t>
            </w:r>
          </w:p>
        </w:tc>
      </w:tr>
      <w:tr>
        <w:tblPrEx>
          <w:tblCellMar>
            <w:top w:w="0" w:type="dxa"/>
            <w:left w:w="0" w:type="dxa"/>
            <w:bottom w:w="0" w:type="dxa"/>
            <w:right w:w="0" w:type="dxa"/>
          </w:tblCellMar>
        </w:tblPrEx>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3</w:t>
            </w:r>
          </w:p>
        </w:tc>
        <w:tc>
          <w:tcPr>
            <w:tcW w:w="1712"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右舷灯（绿色）</w:t>
            </w:r>
          </w:p>
        </w:tc>
        <w:tc>
          <w:tcPr>
            <w:tcW w:w="888"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4287"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1、航行灯，装于最高甲板右舷；</w:t>
            </w:r>
          </w:p>
          <w:p>
            <w:pPr>
              <w:adjustRightInd w:val="0"/>
              <w:snapToGrid w:val="0"/>
              <w:spacing w:line="320" w:lineRule="atLeast"/>
              <w:rPr>
                <w:sz w:val="18"/>
                <w:szCs w:val="18"/>
              </w:rPr>
            </w:pPr>
            <w:r>
              <w:rPr>
                <w:sz w:val="18"/>
                <w:szCs w:val="18"/>
              </w:rPr>
              <w:t>2、除拖带和顶推船外，可用1盏双色灯代替左舷灯与右舷灯。</w:t>
            </w:r>
          </w:p>
        </w:tc>
      </w:tr>
      <w:tr>
        <w:tblPrEx>
          <w:tblCellMar>
            <w:top w:w="0" w:type="dxa"/>
            <w:left w:w="0" w:type="dxa"/>
            <w:bottom w:w="0" w:type="dxa"/>
            <w:right w:w="0" w:type="dxa"/>
          </w:tblCellMar>
        </w:tblPrEx>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4</w:t>
            </w:r>
          </w:p>
        </w:tc>
        <w:tc>
          <w:tcPr>
            <w:tcW w:w="1712"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艉灯（白色）</w:t>
            </w:r>
          </w:p>
        </w:tc>
        <w:tc>
          <w:tcPr>
            <w:tcW w:w="888"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4287"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1、航行灯，装于船艏、尾中心线上，高度尽量与舷灯持平，但不得高出舷灯；</w:t>
            </w:r>
          </w:p>
          <w:p>
            <w:pPr>
              <w:adjustRightInd w:val="0"/>
              <w:snapToGrid w:val="0"/>
              <w:spacing w:line="320" w:lineRule="atLeast"/>
              <w:rPr>
                <w:sz w:val="18"/>
                <w:szCs w:val="18"/>
              </w:rPr>
            </w:pPr>
            <w:r>
              <w:rPr>
                <w:sz w:val="18"/>
                <w:szCs w:val="18"/>
              </w:rPr>
              <w:t>2、可用1盏白环照灯代替桅灯和艉灯。</w:t>
            </w:r>
          </w:p>
        </w:tc>
      </w:tr>
      <w:tr>
        <w:tblPrEx>
          <w:tblCellMar>
            <w:top w:w="0" w:type="dxa"/>
            <w:left w:w="0" w:type="dxa"/>
            <w:bottom w:w="0" w:type="dxa"/>
            <w:right w:w="0" w:type="dxa"/>
          </w:tblCellMar>
        </w:tblPrEx>
        <w:trPr>
          <w:trHeight w:val="320" w:hRule="atLeast"/>
        </w:trPr>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5</w:t>
            </w:r>
          </w:p>
        </w:tc>
        <w:tc>
          <w:tcPr>
            <w:tcW w:w="1712"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双色灯                          （左红、右绿）</w:t>
            </w:r>
          </w:p>
        </w:tc>
        <w:tc>
          <w:tcPr>
            <w:tcW w:w="888"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1组</w:t>
            </w:r>
          </w:p>
        </w:tc>
        <w:tc>
          <w:tcPr>
            <w:tcW w:w="4287"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可替代序号2和3的号灯。配此灯于中心线处，与序号8白灯共用表示航行。</w:t>
            </w:r>
          </w:p>
        </w:tc>
      </w:tr>
      <w:tr>
        <w:tblPrEx>
          <w:tblCellMar>
            <w:top w:w="0" w:type="dxa"/>
            <w:left w:w="0" w:type="dxa"/>
            <w:bottom w:w="0" w:type="dxa"/>
            <w:right w:w="0" w:type="dxa"/>
          </w:tblCellMar>
        </w:tblPrEx>
        <w:trPr>
          <w:trHeight w:val="320" w:hRule="atLeast"/>
        </w:trPr>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1712"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888"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4287"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r>
      <w:tr>
        <w:tblPrEx>
          <w:tblCellMar>
            <w:top w:w="0" w:type="dxa"/>
            <w:left w:w="0" w:type="dxa"/>
            <w:bottom w:w="0" w:type="dxa"/>
            <w:right w:w="0" w:type="dxa"/>
          </w:tblCellMar>
        </w:tblPrEx>
        <w:trPr>
          <w:trHeight w:val="320" w:hRule="atLeast"/>
        </w:trPr>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1712"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888"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4287"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r>
      <w:tr>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6</w:t>
            </w:r>
          </w:p>
        </w:tc>
        <w:tc>
          <w:tcPr>
            <w:tcW w:w="1712"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环照灯（红色）</w:t>
            </w:r>
          </w:p>
        </w:tc>
        <w:tc>
          <w:tcPr>
            <w:tcW w:w="888"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r>
              <w:rPr>
                <w:rFonts w:hint="eastAsia" w:ascii="宋体" w:hAnsi="宋体" w:cs="宋体"/>
                <w:sz w:val="18"/>
                <w:szCs w:val="18"/>
                <w:vertAlign w:val="superscript"/>
              </w:rPr>
              <w:t>①</w:t>
            </w:r>
          </w:p>
        </w:tc>
        <w:tc>
          <w:tcPr>
            <w:tcW w:w="4287"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1、操纵能力受限或失控时显示，垂直悬挂。</w:t>
            </w:r>
          </w:p>
          <w:p>
            <w:pPr>
              <w:adjustRightInd w:val="0"/>
              <w:snapToGrid w:val="0"/>
              <w:spacing w:line="320" w:lineRule="atLeast"/>
              <w:rPr>
                <w:sz w:val="18"/>
                <w:szCs w:val="18"/>
              </w:rPr>
            </w:pPr>
            <w:r>
              <w:rPr>
                <w:sz w:val="18"/>
                <w:szCs w:val="18"/>
              </w:rPr>
              <w:t>2、对非拖网渔船，作业时其中1盏与序号8上红下白同时显示。</w:t>
            </w:r>
          </w:p>
        </w:tc>
      </w:tr>
      <w:tr>
        <w:tblPrEx>
          <w:tblCellMar>
            <w:top w:w="0" w:type="dxa"/>
            <w:left w:w="0" w:type="dxa"/>
            <w:bottom w:w="0" w:type="dxa"/>
            <w:right w:w="0" w:type="dxa"/>
          </w:tblCellMar>
        </w:tblPrEx>
        <w:trPr>
          <w:trHeight w:val="320" w:hRule="atLeast"/>
        </w:trPr>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7</w:t>
            </w:r>
          </w:p>
        </w:tc>
        <w:tc>
          <w:tcPr>
            <w:tcW w:w="1712"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环照灯（绿色）</w:t>
            </w:r>
          </w:p>
        </w:tc>
        <w:tc>
          <w:tcPr>
            <w:tcW w:w="888"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4287"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仅拖网渔船配备，作业时与序号8上绿下白同时显示。</w:t>
            </w:r>
          </w:p>
        </w:tc>
      </w:tr>
      <w:tr>
        <w:tblPrEx>
          <w:tblCellMar>
            <w:top w:w="0" w:type="dxa"/>
            <w:left w:w="0" w:type="dxa"/>
            <w:bottom w:w="0" w:type="dxa"/>
            <w:right w:w="0" w:type="dxa"/>
          </w:tblCellMar>
        </w:tblPrEx>
        <w:trPr>
          <w:trHeight w:val="320" w:hRule="atLeast"/>
        </w:trPr>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1712"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888"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4287"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r>
      <w:tr>
        <w:tblPrEx>
          <w:tblCellMar>
            <w:top w:w="0" w:type="dxa"/>
            <w:left w:w="0" w:type="dxa"/>
            <w:bottom w:w="0" w:type="dxa"/>
            <w:right w:w="0" w:type="dxa"/>
          </w:tblCellMar>
        </w:tblPrEx>
        <w:trPr>
          <w:trHeight w:val="320" w:hRule="atLeast"/>
        </w:trPr>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8</w:t>
            </w:r>
          </w:p>
        </w:tc>
        <w:tc>
          <w:tcPr>
            <w:tcW w:w="1712"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环照灯（白色）</w:t>
            </w:r>
          </w:p>
        </w:tc>
        <w:tc>
          <w:tcPr>
            <w:tcW w:w="888"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r>
              <w:rPr>
                <w:rFonts w:hint="eastAsia" w:ascii="宋体" w:hAnsi="宋体" w:cs="宋体"/>
                <w:sz w:val="18"/>
                <w:szCs w:val="18"/>
                <w:vertAlign w:val="superscript"/>
              </w:rPr>
              <w:t>②</w:t>
            </w:r>
            <w:r>
              <w:rPr>
                <w:sz w:val="18"/>
                <w:szCs w:val="18"/>
              </w:rPr>
              <w:t>+（1）</w:t>
            </w:r>
          </w:p>
        </w:tc>
        <w:tc>
          <w:tcPr>
            <w:tcW w:w="4287"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1、作为锚泊灯，</w:t>
            </w:r>
          </w:p>
          <w:p>
            <w:pPr>
              <w:adjustRightInd w:val="0"/>
              <w:snapToGrid w:val="0"/>
              <w:spacing w:line="320" w:lineRule="atLeast"/>
              <w:rPr>
                <w:sz w:val="18"/>
                <w:szCs w:val="18"/>
              </w:rPr>
            </w:pPr>
            <w:r>
              <w:rPr>
                <w:sz w:val="18"/>
                <w:szCs w:val="18"/>
              </w:rPr>
              <w:t>2、可替代序号1和4的号灯；</w:t>
            </w:r>
          </w:p>
          <w:p>
            <w:pPr>
              <w:adjustRightInd w:val="0"/>
              <w:snapToGrid w:val="0"/>
              <w:spacing w:line="320" w:lineRule="atLeast"/>
              <w:rPr>
                <w:sz w:val="18"/>
                <w:szCs w:val="18"/>
              </w:rPr>
            </w:pPr>
            <w:r>
              <w:rPr>
                <w:sz w:val="18"/>
                <w:szCs w:val="18"/>
              </w:rPr>
              <w:t>3、有渔具外伸的渔船，才另加（1）盏渔具方向指示灯。</w:t>
            </w:r>
          </w:p>
        </w:tc>
      </w:tr>
      <w:tr>
        <w:tblPrEx>
          <w:tblCellMar>
            <w:top w:w="0" w:type="dxa"/>
            <w:left w:w="0" w:type="dxa"/>
            <w:bottom w:w="0" w:type="dxa"/>
            <w:right w:w="0" w:type="dxa"/>
          </w:tblCellMar>
        </w:tblPrEx>
        <w:trPr>
          <w:trHeight w:val="320" w:hRule="atLeast"/>
        </w:trPr>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1712"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888"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4287"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r>
      <w:tr>
        <w:tblPrEx>
          <w:tblCellMar>
            <w:top w:w="0" w:type="dxa"/>
            <w:left w:w="0" w:type="dxa"/>
            <w:bottom w:w="0" w:type="dxa"/>
            <w:right w:w="0" w:type="dxa"/>
          </w:tblCellMar>
        </w:tblPrEx>
        <w:trPr>
          <w:trHeight w:val="320" w:hRule="atLeast"/>
        </w:trPr>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1712"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888"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4287"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r>
      <w:tr>
        <w:tblPrEx>
          <w:tblCellMar>
            <w:top w:w="0" w:type="dxa"/>
            <w:left w:w="0" w:type="dxa"/>
            <w:bottom w:w="0" w:type="dxa"/>
            <w:right w:w="0" w:type="dxa"/>
          </w:tblCellMar>
        </w:tblPrEx>
        <w:trPr>
          <w:trHeight w:val="832" w:hRule="atLeast"/>
        </w:trPr>
        <w:tc>
          <w:tcPr>
            <w:tcW w:w="875" w:type="dxa"/>
            <w:tcBorders>
              <w:top w:val="nil"/>
              <w:left w:val="single" w:color="auto" w:sz="4" w:space="0"/>
              <w:bottom w:val="single" w:color="000000" w:sz="4" w:space="0"/>
              <w:right w:val="single" w:color="auto" w:sz="4" w:space="0"/>
            </w:tcBorders>
            <w:tcMar>
              <w:top w:w="15" w:type="dxa"/>
              <w:left w:w="15" w:type="dxa"/>
              <w:bottom w:w="0" w:type="dxa"/>
              <w:right w:w="15" w:type="dxa"/>
            </w:tcMar>
            <w:textDirection w:val="tbRlV"/>
            <w:vAlign w:val="center"/>
          </w:tcPr>
          <w:p>
            <w:pPr>
              <w:adjustRightInd w:val="0"/>
              <w:snapToGrid w:val="0"/>
              <w:spacing w:line="320" w:lineRule="atLeast"/>
              <w:ind w:left="113" w:right="113"/>
              <w:jc w:val="center"/>
              <w:rPr>
                <w:sz w:val="18"/>
                <w:szCs w:val="18"/>
              </w:rPr>
            </w:pPr>
            <w:r>
              <w:rPr>
                <w:sz w:val="18"/>
                <w:szCs w:val="18"/>
              </w:rPr>
              <w:t>号 型</w:t>
            </w:r>
          </w:p>
        </w:tc>
        <w:tc>
          <w:tcPr>
            <w:tcW w:w="6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1712"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球体</w:t>
            </w:r>
          </w:p>
        </w:tc>
        <w:tc>
          <w:tcPr>
            <w:tcW w:w="888"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4287"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1、失控时显示，垂直两个球体</w:t>
            </w:r>
          </w:p>
          <w:p>
            <w:pPr>
              <w:adjustRightInd w:val="0"/>
              <w:snapToGrid w:val="0"/>
              <w:spacing w:line="320" w:lineRule="atLeast"/>
              <w:rPr>
                <w:sz w:val="18"/>
                <w:szCs w:val="18"/>
              </w:rPr>
            </w:pPr>
            <w:r>
              <w:rPr>
                <w:sz w:val="18"/>
                <w:szCs w:val="18"/>
              </w:rPr>
              <w:t>2、操纵能力受限时，垂直3个球体，中间是菱形体</w:t>
            </w:r>
          </w:p>
        </w:tc>
      </w:tr>
      <w:tr>
        <w:tblPrEx>
          <w:tblCellMar>
            <w:top w:w="0" w:type="dxa"/>
            <w:left w:w="0" w:type="dxa"/>
            <w:bottom w:w="0" w:type="dxa"/>
            <w:right w:w="0" w:type="dxa"/>
          </w:tblCellMar>
        </w:tblPrEx>
        <w:trPr>
          <w:trHeight w:val="438" w:hRule="atLeast"/>
        </w:trPr>
        <w:tc>
          <w:tcPr>
            <w:tcW w:w="875"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textDirection w:val="tbRlV"/>
            <w:vAlign w:val="center"/>
          </w:tcPr>
          <w:p>
            <w:pPr>
              <w:adjustRightInd w:val="0"/>
              <w:snapToGrid w:val="0"/>
              <w:spacing w:line="320" w:lineRule="atLeast"/>
              <w:ind w:left="113" w:right="113"/>
              <w:jc w:val="center"/>
              <w:rPr>
                <w:sz w:val="18"/>
                <w:szCs w:val="18"/>
              </w:rPr>
            </w:pPr>
            <w:r>
              <w:rPr>
                <w:sz w:val="18"/>
                <w:szCs w:val="18"/>
              </w:rPr>
              <w:t>号 旗</w:t>
            </w:r>
          </w:p>
        </w:tc>
        <w:tc>
          <w:tcPr>
            <w:tcW w:w="6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1712"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5号国旗</w:t>
            </w:r>
          </w:p>
        </w:tc>
        <w:tc>
          <w:tcPr>
            <w:tcW w:w="888"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4287"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p>
        </w:tc>
      </w:tr>
      <w:tr>
        <w:tblPrEx>
          <w:tblCellMar>
            <w:top w:w="0" w:type="dxa"/>
            <w:left w:w="0" w:type="dxa"/>
            <w:bottom w:w="0" w:type="dxa"/>
            <w:right w:w="0" w:type="dxa"/>
          </w:tblCellMar>
        </w:tblPrEx>
        <w:trPr>
          <w:trHeight w:val="550" w:hRule="atLeast"/>
        </w:trPr>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2</w:t>
            </w:r>
          </w:p>
        </w:tc>
        <w:tc>
          <w:tcPr>
            <w:tcW w:w="1712"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红色号旗</w:t>
            </w:r>
          </w:p>
        </w:tc>
        <w:tc>
          <w:tcPr>
            <w:tcW w:w="888"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4287"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指示有碍他船航行的渔具、缆索、锚链等伸出的方向。</w:t>
            </w:r>
          </w:p>
        </w:tc>
      </w:tr>
      <w:tr>
        <w:tblPrEx>
          <w:tblCellMar>
            <w:top w:w="0" w:type="dxa"/>
            <w:left w:w="0" w:type="dxa"/>
            <w:bottom w:w="0" w:type="dxa"/>
            <w:right w:w="0" w:type="dxa"/>
          </w:tblCellMar>
        </w:tblPrEx>
        <w:tc>
          <w:tcPr>
            <w:tcW w:w="875"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音响器具</w:t>
            </w:r>
          </w:p>
        </w:tc>
        <w:tc>
          <w:tcPr>
            <w:tcW w:w="6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1712"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小型号笛</w:t>
            </w:r>
          </w:p>
        </w:tc>
        <w:tc>
          <w:tcPr>
            <w:tcW w:w="888" w:type="dxa"/>
            <w:vMerge w:val="restart"/>
            <w:tcBorders>
              <w:top w:val="nil"/>
              <w:left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4287" w:type="dxa"/>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可用哨子替代号笛及号钟。</w:t>
            </w:r>
          </w:p>
        </w:tc>
      </w:tr>
      <w:tr>
        <w:tblPrEx>
          <w:tblCellMar>
            <w:top w:w="0" w:type="dxa"/>
            <w:left w:w="0" w:type="dxa"/>
            <w:bottom w:w="0" w:type="dxa"/>
            <w:right w:w="0" w:type="dxa"/>
          </w:tblCellMar>
        </w:tblPrEx>
        <w:tc>
          <w:tcPr>
            <w:tcW w:w="875" w:type="dxa"/>
            <w:vMerge w:val="continue"/>
            <w:tcBorders>
              <w:top w:val="nil"/>
              <w:left w:val="single" w:color="auto" w:sz="4" w:space="0"/>
              <w:bottom w:val="single" w:color="auto" w:sz="4" w:space="0"/>
              <w:right w:val="single" w:color="auto" w:sz="4" w:space="0"/>
            </w:tcBorders>
            <w:vAlign w:val="center"/>
          </w:tcPr>
          <w:p>
            <w:pPr>
              <w:adjustRightInd w:val="0"/>
              <w:snapToGrid w:val="0"/>
              <w:spacing w:line="320" w:lineRule="atLeast"/>
              <w:rPr>
                <w:sz w:val="18"/>
                <w:szCs w:val="18"/>
              </w:rPr>
            </w:pPr>
          </w:p>
        </w:tc>
        <w:tc>
          <w:tcPr>
            <w:tcW w:w="6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2</w:t>
            </w:r>
          </w:p>
        </w:tc>
        <w:tc>
          <w:tcPr>
            <w:tcW w:w="1712"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小型号钟</w:t>
            </w:r>
          </w:p>
        </w:tc>
        <w:tc>
          <w:tcPr>
            <w:tcW w:w="888" w:type="dxa"/>
            <w:vMerge w:val="continue"/>
            <w:tcBorders>
              <w:left w:val="single" w:color="auto" w:sz="4" w:space="0"/>
              <w:bottom w:val="single" w:color="auto" w:sz="4" w:space="0"/>
              <w:right w:val="single" w:color="auto" w:sz="4" w:space="0"/>
            </w:tcBorders>
            <w:vAlign w:val="center"/>
          </w:tcPr>
          <w:p>
            <w:pPr>
              <w:adjustRightInd w:val="0"/>
              <w:snapToGrid w:val="0"/>
              <w:spacing w:line="320" w:lineRule="atLeast"/>
              <w:rPr>
                <w:sz w:val="18"/>
                <w:szCs w:val="18"/>
              </w:rPr>
            </w:pPr>
          </w:p>
        </w:tc>
        <w:tc>
          <w:tcPr>
            <w:tcW w:w="4287" w:type="dxa"/>
            <w:vMerge w:val="continue"/>
            <w:tcBorders>
              <w:top w:val="nil"/>
              <w:left w:val="single" w:color="auto" w:sz="4" w:space="0"/>
              <w:bottom w:val="single" w:color="auto" w:sz="4" w:space="0"/>
              <w:right w:val="single" w:color="auto" w:sz="4" w:space="0"/>
            </w:tcBorders>
            <w:vAlign w:val="center"/>
          </w:tcPr>
          <w:p>
            <w:pPr>
              <w:adjustRightInd w:val="0"/>
              <w:snapToGrid w:val="0"/>
              <w:spacing w:line="320" w:lineRule="atLeast"/>
              <w:rPr>
                <w:sz w:val="18"/>
                <w:szCs w:val="18"/>
              </w:rPr>
            </w:pPr>
          </w:p>
        </w:tc>
      </w:tr>
      <w:tr>
        <w:tblPrEx>
          <w:tblCellMar>
            <w:top w:w="0" w:type="dxa"/>
            <w:left w:w="0" w:type="dxa"/>
            <w:bottom w:w="0" w:type="dxa"/>
            <w:right w:w="0" w:type="dxa"/>
          </w:tblCellMar>
        </w:tblPrEx>
        <w:trPr>
          <w:trHeight w:val="630" w:hRule="atLeast"/>
        </w:trPr>
        <w:tc>
          <w:tcPr>
            <w:tcW w:w="8425" w:type="dxa"/>
            <w:gridSpan w:val="5"/>
            <w:tcBorders>
              <w:top w:val="single" w:color="auto" w:sz="4" w:space="0"/>
              <w:left w:val="single" w:color="auto" w:sz="4" w:space="0"/>
              <w:bottom w:val="single" w:color="000000" w:sz="4" w:space="0"/>
              <w:right w:val="single" w:color="auto" w:sz="4" w:space="0"/>
            </w:tcBorders>
            <w:vAlign w:val="center"/>
          </w:tcPr>
          <w:p>
            <w:pPr>
              <w:adjustRightInd w:val="0"/>
              <w:snapToGrid w:val="0"/>
              <w:spacing w:line="320" w:lineRule="atLeast"/>
              <w:ind w:firstLine="360" w:firstLineChars="200"/>
              <w:rPr>
                <w:sz w:val="18"/>
                <w:szCs w:val="18"/>
              </w:rPr>
            </w:pPr>
            <w:r>
              <w:rPr>
                <w:sz w:val="18"/>
                <w:szCs w:val="18"/>
              </w:rPr>
              <w:t>注：</w:t>
            </w:r>
            <w:r>
              <w:rPr>
                <w:rFonts w:hint="eastAsia" w:ascii="宋体" w:hAnsi="宋体" w:cs="宋体"/>
                <w:sz w:val="18"/>
                <w:szCs w:val="18"/>
              </w:rPr>
              <w:t>①</w:t>
            </w:r>
            <w:r>
              <w:rPr>
                <w:sz w:val="18"/>
                <w:szCs w:val="18"/>
              </w:rPr>
              <w:t xml:space="preserve"> 仅非拖网渔船配备。</w:t>
            </w:r>
          </w:p>
          <w:p>
            <w:pPr>
              <w:adjustRightInd w:val="0"/>
              <w:snapToGrid w:val="0"/>
              <w:spacing w:line="320" w:lineRule="atLeast"/>
              <w:ind w:firstLine="720" w:firstLineChars="400"/>
              <w:rPr>
                <w:sz w:val="18"/>
                <w:szCs w:val="18"/>
              </w:rPr>
            </w:pPr>
            <w:r>
              <w:rPr>
                <w:rFonts w:hint="eastAsia" w:ascii="宋体" w:hAnsi="宋体" w:cs="宋体"/>
                <w:sz w:val="18"/>
                <w:szCs w:val="18"/>
              </w:rPr>
              <w:t>②</w:t>
            </w:r>
            <w:r>
              <w:rPr>
                <w:sz w:val="18"/>
                <w:szCs w:val="18"/>
              </w:rPr>
              <w:t xml:space="preserve"> 可用1盏白环照灯代替桅灯和艉灯。</w:t>
            </w:r>
          </w:p>
        </w:tc>
      </w:tr>
    </w:tbl>
    <w:p>
      <w:pPr>
        <w:adjustRightInd w:val="0"/>
        <w:snapToGrid w:val="0"/>
        <w:spacing w:line="320" w:lineRule="atLeast"/>
        <w:ind w:firstLine="720" w:firstLineChars="400"/>
        <w:rPr>
          <w:sz w:val="18"/>
          <w:szCs w:val="18"/>
        </w:rPr>
      </w:pPr>
    </w:p>
    <w:p>
      <w:pPr>
        <w:adjustRightInd w:val="0"/>
        <w:snapToGrid w:val="0"/>
        <w:ind w:firstLine="420" w:firstLineChars="200"/>
      </w:pPr>
      <w:r>
        <w:rPr>
          <w:rFonts w:hint="eastAsia"/>
        </w:rPr>
        <w:t>7.4.2.4  船长小于12m内河渔船信号设备的配备应符合表7.4.2.4的规定。</w:t>
      </w:r>
    </w:p>
    <w:p>
      <w:pPr>
        <w:wordWrap w:val="0"/>
        <w:spacing w:line="320" w:lineRule="atLeast"/>
        <w:ind w:firstLine="420" w:firstLineChars="200"/>
        <w:jc w:val="right"/>
        <w:rPr>
          <w:rFonts w:eastAsia="黑体"/>
          <w:szCs w:val="21"/>
        </w:rPr>
      </w:pPr>
      <w:r>
        <w:rPr>
          <w:rFonts w:hint="eastAsia" w:eastAsia="黑体"/>
          <w:szCs w:val="21"/>
        </w:rPr>
        <w:t>船长小于12m内河渔船信号设备的配备</w:t>
      </w:r>
      <w:r>
        <w:rPr>
          <w:rFonts w:eastAsia="黑体"/>
          <w:szCs w:val="21"/>
        </w:rPr>
        <w:t xml:space="preserve">        </w:t>
      </w:r>
      <w:r>
        <w:rPr>
          <w:rFonts w:hint="eastAsia" w:eastAsia="黑体"/>
          <w:szCs w:val="21"/>
        </w:rPr>
        <w:t xml:space="preserve">    </w:t>
      </w:r>
      <w:r>
        <w:rPr>
          <w:rFonts w:eastAsia="黑体"/>
          <w:szCs w:val="21"/>
        </w:rPr>
        <w:t xml:space="preserve">  </w:t>
      </w:r>
      <w:r>
        <w:rPr>
          <w:rFonts w:hint="eastAsia" w:eastAsia="黑体"/>
          <w:szCs w:val="21"/>
        </w:rPr>
        <w:t xml:space="preserve">  </w:t>
      </w:r>
      <w:r>
        <w:rPr>
          <w:rFonts w:eastAsia="黑体"/>
          <w:szCs w:val="21"/>
        </w:rPr>
        <w:t xml:space="preserve"> 表</w:t>
      </w:r>
      <w:r>
        <w:rPr>
          <w:rFonts w:hint="eastAsia" w:eastAsia="黑体"/>
          <w:szCs w:val="21"/>
        </w:rPr>
        <w:t>7.4.2.4</w:t>
      </w:r>
    </w:p>
    <w:tbl>
      <w:tblPr>
        <w:tblStyle w:val="15"/>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1"/>
        <w:gridCol w:w="992"/>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2991" w:type="dxa"/>
            <w:vAlign w:val="center"/>
          </w:tcPr>
          <w:p>
            <w:pPr>
              <w:jc w:val="center"/>
              <w:rPr>
                <w:sz w:val="18"/>
                <w:szCs w:val="18"/>
              </w:rPr>
            </w:pPr>
            <w:r>
              <w:rPr>
                <w:sz w:val="18"/>
                <w:szCs w:val="18"/>
              </w:rPr>
              <w:t>设备</w:t>
            </w:r>
          </w:p>
        </w:tc>
        <w:tc>
          <w:tcPr>
            <w:tcW w:w="992" w:type="dxa"/>
            <w:vAlign w:val="center"/>
          </w:tcPr>
          <w:p>
            <w:pPr>
              <w:jc w:val="center"/>
              <w:rPr>
                <w:sz w:val="18"/>
                <w:szCs w:val="18"/>
              </w:rPr>
            </w:pPr>
            <w:r>
              <w:rPr>
                <w:sz w:val="18"/>
                <w:szCs w:val="18"/>
              </w:rPr>
              <w:t>数量</w:t>
            </w:r>
          </w:p>
        </w:tc>
        <w:tc>
          <w:tcPr>
            <w:tcW w:w="4536" w:type="dxa"/>
            <w:vAlign w:val="center"/>
          </w:tcPr>
          <w:p>
            <w:pPr>
              <w:jc w:val="center"/>
              <w:rPr>
                <w:sz w:val="18"/>
                <w:szCs w:val="18"/>
              </w:rPr>
            </w:pPr>
            <w:r>
              <w:rPr>
                <w:sz w:val="18"/>
                <w:szCs w:val="1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exact"/>
          <w:jc w:val="center"/>
        </w:trPr>
        <w:tc>
          <w:tcPr>
            <w:tcW w:w="2991" w:type="dxa"/>
            <w:vAlign w:val="center"/>
          </w:tcPr>
          <w:p>
            <w:pPr>
              <w:jc w:val="center"/>
              <w:rPr>
                <w:sz w:val="18"/>
                <w:szCs w:val="18"/>
              </w:rPr>
            </w:pPr>
            <w:r>
              <w:rPr>
                <w:sz w:val="18"/>
                <w:szCs w:val="18"/>
              </w:rPr>
              <w:t xml:space="preserve">  桅灯、左舷灯、</w:t>
            </w:r>
          </w:p>
          <w:p>
            <w:pPr>
              <w:jc w:val="center"/>
              <w:rPr>
                <w:sz w:val="18"/>
                <w:szCs w:val="18"/>
              </w:rPr>
            </w:pPr>
            <w:r>
              <w:rPr>
                <w:sz w:val="18"/>
                <w:szCs w:val="18"/>
              </w:rPr>
              <w:t>右舷灯、艉灯</w:t>
            </w:r>
          </w:p>
        </w:tc>
        <w:tc>
          <w:tcPr>
            <w:tcW w:w="992" w:type="dxa"/>
            <w:vAlign w:val="center"/>
          </w:tcPr>
          <w:p>
            <w:pPr>
              <w:jc w:val="center"/>
              <w:rPr>
                <w:sz w:val="18"/>
                <w:szCs w:val="18"/>
              </w:rPr>
            </w:pPr>
            <w:r>
              <w:rPr>
                <w:sz w:val="18"/>
                <w:szCs w:val="18"/>
              </w:rPr>
              <w:t>各1</w:t>
            </w:r>
          </w:p>
        </w:tc>
        <w:tc>
          <w:tcPr>
            <w:tcW w:w="4536" w:type="dxa"/>
            <w:vMerge w:val="restart"/>
            <w:vAlign w:val="center"/>
          </w:tcPr>
          <w:p>
            <w:pPr>
              <w:jc w:val="left"/>
              <w:rPr>
                <w:sz w:val="18"/>
                <w:szCs w:val="18"/>
              </w:rPr>
            </w:pPr>
            <w:r>
              <w:rPr>
                <w:rFonts w:hint="eastAsia"/>
                <w:sz w:val="18"/>
                <w:szCs w:val="18"/>
              </w:rPr>
              <w:t>1、</w:t>
            </w:r>
            <w:r>
              <w:rPr>
                <w:sz w:val="18"/>
                <w:szCs w:val="18"/>
              </w:rPr>
              <w:t>对非通航水域或夜间不航行作业的渔船可免除锚灯以外的号灯。</w:t>
            </w:r>
          </w:p>
          <w:p>
            <w:pPr>
              <w:jc w:val="left"/>
              <w:rPr>
                <w:sz w:val="18"/>
                <w:szCs w:val="18"/>
              </w:rPr>
            </w:pPr>
            <w:r>
              <w:rPr>
                <w:rFonts w:hint="eastAsia"/>
                <w:sz w:val="18"/>
                <w:szCs w:val="18"/>
              </w:rPr>
              <w:t>2、</w:t>
            </w:r>
            <w:r>
              <w:rPr>
                <w:sz w:val="18"/>
                <w:szCs w:val="18"/>
              </w:rPr>
              <w:t>失控灯及作业号灯的两盏灯的垂直间距应不小于0.6m，最低一盏灯应在船体以上高度不小于1m。</w:t>
            </w:r>
          </w:p>
          <w:p>
            <w:pPr>
              <w:jc w:val="left"/>
              <w:rPr>
                <w:sz w:val="18"/>
                <w:szCs w:val="18"/>
              </w:rPr>
            </w:pPr>
            <w:r>
              <w:rPr>
                <w:rFonts w:hint="eastAsia"/>
                <w:sz w:val="18"/>
                <w:szCs w:val="18"/>
              </w:rPr>
              <w:t>3、</w:t>
            </w:r>
            <w:r>
              <w:rPr>
                <w:kern w:val="0"/>
                <w:sz w:val="18"/>
                <w:szCs w:val="18"/>
              </w:rPr>
              <w:t>24米以下的渔船可以用其他声响器具替代号笛。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2991" w:type="dxa"/>
            <w:vAlign w:val="center"/>
          </w:tcPr>
          <w:p>
            <w:pPr>
              <w:jc w:val="center"/>
              <w:rPr>
                <w:sz w:val="18"/>
                <w:szCs w:val="18"/>
              </w:rPr>
            </w:pPr>
            <w:r>
              <w:rPr>
                <w:sz w:val="18"/>
                <w:szCs w:val="18"/>
              </w:rPr>
              <w:t>红、绿闪光灯</w:t>
            </w:r>
          </w:p>
        </w:tc>
        <w:tc>
          <w:tcPr>
            <w:tcW w:w="992" w:type="dxa"/>
            <w:vAlign w:val="center"/>
          </w:tcPr>
          <w:p>
            <w:pPr>
              <w:jc w:val="center"/>
              <w:rPr>
                <w:sz w:val="18"/>
                <w:szCs w:val="18"/>
              </w:rPr>
            </w:pPr>
            <w:r>
              <w:rPr>
                <w:sz w:val="18"/>
                <w:szCs w:val="18"/>
              </w:rPr>
              <w:t>各1</w:t>
            </w:r>
          </w:p>
        </w:tc>
        <w:tc>
          <w:tcPr>
            <w:tcW w:w="4536" w:type="dxa"/>
            <w:vMerge w:val="continue"/>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2991" w:type="dxa"/>
            <w:vAlign w:val="center"/>
          </w:tcPr>
          <w:p>
            <w:pPr>
              <w:jc w:val="center"/>
              <w:rPr>
                <w:sz w:val="18"/>
                <w:szCs w:val="18"/>
              </w:rPr>
            </w:pPr>
            <w:r>
              <w:rPr>
                <w:sz w:val="18"/>
                <w:szCs w:val="18"/>
              </w:rPr>
              <w:t>锚灯(白环照灯)</w:t>
            </w:r>
          </w:p>
        </w:tc>
        <w:tc>
          <w:tcPr>
            <w:tcW w:w="992" w:type="dxa"/>
            <w:vAlign w:val="center"/>
          </w:tcPr>
          <w:p>
            <w:pPr>
              <w:jc w:val="center"/>
              <w:rPr>
                <w:sz w:val="18"/>
                <w:szCs w:val="18"/>
              </w:rPr>
            </w:pPr>
            <w:r>
              <w:rPr>
                <w:sz w:val="18"/>
                <w:szCs w:val="18"/>
              </w:rPr>
              <w:t>1</w:t>
            </w:r>
          </w:p>
        </w:tc>
        <w:tc>
          <w:tcPr>
            <w:tcW w:w="4536" w:type="dxa"/>
            <w:vMerge w:val="continue"/>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2991" w:type="dxa"/>
            <w:vAlign w:val="center"/>
          </w:tcPr>
          <w:p>
            <w:pPr>
              <w:jc w:val="center"/>
              <w:rPr>
                <w:sz w:val="18"/>
                <w:szCs w:val="18"/>
              </w:rPr>
            </w:pPr>
            <w:r>
              <w:rPr>
                <w:sz w:val="18"/>
                <w:szCs w:val="18"/>
              </w:rPr>
              <w:t>手电筒</w:t>
            </w:r>
          </w:p>
        </w:tc>
        <w:tc>
          <w:tcPr>
            <w:tcW w:w="992" w:type="dxa"/>
            <w:vAlign w:val="center"/>
          </w:tcPr>
          <w:p>
            <w:pPr>
              <w:jc w:val="center"/>
              <w:rPr>
                <w:sz w:val="18"/>
                <w:szCs w:val="18"/>
              </w:rPr>
            </w:pPr>
            <w:r>
              <w:rPr>
                <w:sz w:val="18"/>
                <w:szCs w:val="18"/>
              </w:rPr>
              <w:t>1</w:t>
            </w:r>
          </w:p>
        </w:tc>
        <w:tc>
          <w:tcPr>
            <w:tcW w:w="4536" w:type="dxa"/>
            <w:vMerge w:val="continue"/>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exact"/>
          <w:jc w:val="center"/>
        </w:trPr>
        <w:tc>
          <w:tcPr>
            <w:tcW w:w="2991" w:type="dxa"/>
            <w:vAlign w:val="center"/>
          </w:tcPr>
          <w:p>
            <w:pPr>
              <w:jc w:val="center"/>
              <w:rPr>
                <w:sz w:val="18"/>
                <w:szCs w:val="18"/>
              </w:rPr>
            </w:pPr>
            <w:r>
              <w:rPr>
                <w:sz w:val="18"/>
                <w:szCs w:val="18"/>
              </w:rPr>
              <w:t>失控灯</w:t>
            </w:r>
          </w:p>
          <w:p>
            <w:pPr>
              <w:jc w:val="center"/>
              <w:rPr>
                <w:sz w:val="18"/>
                <w:szCs w:val="18"/>
              </w:rPr>
            </w:pPr>
            <w:r>
              <w:rPr>
                <w:sz w:val="18"/>
                <w:szCs w:val="18"/>
              </w:rPr>
              <w:t>(上红、下红)</w:t>
            </w:r>
          </w:p>
        </w:tc>
        <w:tc>
          <w:tcPr>
            <w:tcW w:w="992" w:type="dxa"/>
            <w:vAlign w:val="center"/>
          </w:tcPr>
          <w:p>
            <w:pPr>
              <w:jc w:val="center"/>
              <w:rPr>
                <w:sz w:val="18"/>
                <w:szCs w:val="18"/>
              </w:rPr>
            </w:pPr>
            <w:r>
              <w:rPr>
                <w:sz w:val="18"/>
                <w:szCs w:val="18"/>
              </w:rPr>
              <w:t>一组</w:t>
            </w:r>
          </w:p>
        </w:tc>
        <w:tc>
          <w:tcPr>
            <w:tcW w:w="4536" w:type="dxa"/>
            <w:vMerge w:val="continue"/>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2991" w:type="dxa"/>
            <w:vAlign w:val="center"/>
          </w:tcPr>
          <w:p>
            <w:pPr>
              <w:jc w:val="center"/>
              <w:rPr>
                <w:sz w:val="18"/>
                <w:szCs w:val="18"/>
              </w:rPr>
            </w:pPr>
            <w:r>
              <w:rPr>
                <w:sz w:val="18"/>
                <w:szCs w:val="18"/>
              </w:rPr>
              <w:t>作业号灯</w:t>
            </w:r>
          </w:p>
          <w:p>
            <w:pPr>
              <w:jc w:val="center"/>
              <w:rPr>
                <w:sz w:val="18"/>
                <w:szCs w:val="18"/>
              </w:rPr>
            </w:pPr>
            <w:r>
              <w:rPr>
                <w:sz w:val="18"/>
                <w:szCs w:val="18"/>
              </w:rPr>
              <w:t>(上绿、下白)</w:t>
            </w:r>
          </w:p>
        </w:tc>
        <w:tc>
          <w:tcPr>
            <w:tcW w:w="992" w:type="dxa"/>
            <w:vAlign w:val="center"/>
          </w:tcPr>
          <w:p>
            <w:pPr>
              <w:jc w:val="center"/>
              <w:rPr>
                <w:sz w:val="18"/>
                <w:szCs w:val="18"/>
              </w:rPr>
            </w:pPr>
            <w:r>
              <w:rPr>
                <w:sz w:val="18"/>
                <w:szCs w:val="18"/>
              </w:rPr>
              <w:t>一组</w:t>
            </w:r>
          </w:p>
        </w:tc>
        <w:tc>
          <w:tcPr>
            <w:tcW w:w="4536" w:type="dxa"/>
            <w:vMerge w:val="continue"/>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2991" w:type="dxa"/>
            <w:vAlign w:val="center"/>
          </w:tcPr>
          <w:p>
            <w:pPr>
              <w:jc w:val="center"/>
              <w:rPr>
                <w:sz w:val="18"/>
                <w:szCs w:val="18"/>
              </w:rPr>
            </w:pPr>
            <w:r>
              <w:rPr>
                <w:sz w:val="18"/>
                <w:szCs w:val="18"/>
              </w:rPr>
              <w:t>小型黑球体</w:t>
            </w:r>
          </w:p>
        </w:tc>
        <w:tc>
          <w:tcPr>
            <w:tcW w:w="992" w:type="dxa"/>
            <w:vAlign w:val="center"/>
          </w:tcPr>
          <w:p>
            <w:pPr>
              <w:jc w:val="center"/>
              <w:rPr>
                <w:sz w:val="18"/>
                <w:szCs w:val="18"/>
              </w:rPr>
            </w:pPr>
            <w:r>
              <w:rPr>
                <w:sz w:val="18"/>
                <w:szCs w:val="18"/>
              </w:rPr>
              <w:t>3</w:t>
            </w:r>
          </w:p>
        </w:tc>
        <w:tc>
          <w:tcPr>
            <w:tcW w:w="4536" w:type="dxa"/>
            <w:vMerge w:val="continue"/>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2991" w:type="dxa"/>
            <w:vAlign w:val="center"/>
          </w:tcPr>
          <w:p>
            <w:pPr>
              <w:jc w:val="center"/>
              <w:rPr>
                <w:sz w:val="18"/>
                <w:szCs w:val="18"/>
              </w:rPr>
            </w:pPr>
            <w:r>
              <w:rPr>
                <w:sz w:val="18"/>
                <w:szCs w:val="18"/>
              </w:rPr>
              <w:t>红色三角旗</w:t>
            </w:r>
          </w:p>
        </w:tc>
        <w:tc>
          <w:tcPr>
            <w:tcW w:w="992" w:type="dxa"/>
            <w:vAlign w:val="center"/>
          </w:tcPr>
          <w:p>
            <w:pPr>
              <w:jc w:val="center"/>
              <w:rPr>
                <w:sz w:val="18"/>
                <w:szCs w:val="18"/>
              </w:rPr>
            </w:pPr>
            <w:r>
              <w:rPr>
                <w:sz w:val="18"/>
                <w:szCs w:val="18"/>
              </w:rPr>
              <w:t>1</w:t>
            </w:r>
          </w:p>
        </w:tc>
        <w:tc>
          <w:tcPr>
            <w:tcW w:w="4536" w:type="dxa"/>
            <w:vMerge w:val="continue"/>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991" w:type="dxa"/>
            <w:vAlign w:val="center"/>
          </w:tcPr>
          <w:p>
            <w:pPr>
              <w:jc w:val="center"/>
              <w:rPr>
                <w:sz w:val="18"/>
                <w:szCs w:val="18"/>
              </w:rPr>
            </w:pPr>
            <w:r>
              <w:rPr>
                <w:sz w:val="18"/>
                <w:szCs w:val="18"/>
              </w:rPr>
              <w:t>小型号笛</w:t>
            </w:r>
          </w:p>
        </w:tc>
        <w:tc>
          <w:tcPr>
            <w:tcW w:w="992" w:type="dxa"/>
            <w:vAlign w:val="center"/>
          </w:tcPr>
          <w:p>
            <w:pPr>
              <w:jc w:val="center"/>
              <w:rPr>
                <w:sz w:val="18"/>
                <w:szCs w:val="18"/>
              </w:rPr>
            </w:pPr>
            <w:r>
              <w:rPr>
                <w:sz w:val="18"/>
                <w:szCs w:val="18"/>
              </w:rPr>
              <w:t>1</w:t>
            </w:r>
          </w:p>
        </w:tc>
        <w:tc>
          <w:tcPr>
            <w:tcW w:w="4536" w:type="dxa"/>
            <w:vMerge w:val="continue"/>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991" w:type="dxa"/>
            <w:vAlign w:val="center"/>
          </w:tcPr>
          <w:p>
            <w:pPr>
              <w:jc w:val="center"/>
              <w:rPr>
                <w:sz w:val="18"/>
                <w:szCs w:val="18"/>
              </w:rPr>
            </w:pPr>
            <w:r>
              <w:rPr>
                <w:sz w:val="18"/>
                <w:szCs w:val="18"/>
              </w:rPr>
              <w:t>小型号钟</w:t>
            </w:r>
          </w:p>
        </w:tc>
        <w:tc>
          <w:tcPr>
            <w:tcW w:w="992" w:type="dxa"/>
            <w:vAlign w:val="center"/>
          </w:tcPr>
          <w:p>
            <w:pPr>
              <w:jc w:val="center"/>
              <w:rPr>
                <w:sz w:val="18"/>
                <w:szCs w:val="18"/>
              </w:rPr>
            </w:pPr>
            <w:r>
              <w:rPr>
                <w:sz w:val="18"/>
                <w:szCs w:val="18"/>
              </w:rPr>
              <w:t>1</w:t>
            </w:r>
          </w:p>
        </w:tc>
        <w:tc>
          <w:tcPr>
            <w:tcW w:w="4536" w:type="dxa"/>
            <w:vMerge w:val="continue"/>
            <w:vAlign w:val="center"/>
          </w:tcPr>
          <w:p>
            <w:pPr>
              <w:rPr>
                <w:sz w:val="18"/>
                <w:szCs w:val="18"/>
              </w:rPr>
            </w:pPr>
          </w:p>
        </w:tc>
      </w:tr>
    </w:tbl>
    <w:p>
      <w:pPr>
        <w:adjustRightInd w:val="0"/>
        <w:snapToGrid w:val="0"/>
        <w:ind w:firstLine="420" w:firstLineChars="200"/>
      </w:pPr>
      <w:r>
        <w:rPr>
          <w:rFonts w:hint="eastAsia"/>
        </w:rPr>
        <w:t>7.4.2.5  对夜间不航行作业的船舶可免除锚灯以外的号灯。</w:t>
      </w:r>
    </w:p>
    <w:p>
      <w:pPr>
        <w:adjustRightInd w:val="0"/>
        <w:snapToGrid w:val="0"/>
        <w:ind w:firstLine="420" w:firstLineChars="200"/>
      </w:pPr>
      <w:r>
        <w:rPr>
          <w:rFonts w:hint="eastAsia"/>
        </w:rPr>
        <w:t>7.4.2.6  船长小于12m海洋渔船信号设备的安装位置</w:t>
      </w:r>
    </w:p>
    <w:p>
      <w:pPr>
        <w:adjustRightInd w:val="0"/>
        <w:snapToGrid w:val="0"/>
        <w:ind w:firstLine="420" w:firstLineChars="200"/>
      </w:pPr>
      <w:r>
        <w:rPr>
          <w:rFonts w:hint="eastAsia"/>
        </w:rPr>
        <w:t>（1）桅灯或替代桅灯和艉灯的环照灯应装设在船舶中纵剖面上，如果不可能，也可以装设在船舶中纵剖面附近，但其舷灯应合并成一盏，并装设在船舶中纵剖面上，或尽可能地装设在接近该桅灯或替代桅灯和尾灯的环照灯所在的纵剖面的位置。</w:t>
      </w:r>
    </w:p>
    <w:p>
      <w:pPr>
        <w:adjustRightInd w:val="0"/>
        <w:snapToGrid w:val="0"/>
        <w:ind w:firstLine="420" w:firstLineChars="200"/>
      </w:pPr>
      <w:r>
        <w:rPr>
          <w:rFonts w:hint="eastAsia"/>
        </w:rPr>
        <w:t>（2）号灯的垂向位置和间距：</w:t>
      </w:r>
    </w:p>
    <w:p>
      <w:pPr>
        <w:adjustRightInd w:val="0"/>
        <w:snapToGrid w:val="0"/>
        <w:ind w:left="1050" w:leftChars="400" w:hanging="210" w:hangingChars="100"/>
      </w:pPr>
      <w:r>
        <w:rPr>
          <w:rFonts w:hint="eastAsia"/>
        </w:rPr>
        <w:t>① 桅灯或替代桅灯和艉灯的环照灯安装在船体以上的高度可以小于2.5m，但至少应高于舷灯1m；</w:t>
      </w:r>
    </w:p>
    <w:p>
      <w:pPr>
        <w:adjustRightInd w:val="0"/>
        <w:snapToGrid w:val="0"/>
        <w:ind w:left="1050" w:leftChars="400" w:hanging="210" w:hangingChars="100"/>
      </w:pPr>
      <w:r>
        <w:rPr>
          <w:rFonts w:hint="eastAsia"/>
        </w:rPr>
        <w:t>② 舷灯安置在船体以上的高度，应不超过前桅灯或替代桅灯和艉灯的环照灯高度的3/4，不应低到受到甲板灯光的干扰。舷灯如合并为一盏，则应安置在低于桅灯不小于1m 处；</w:t>
      </w:r>
    </w:p>
    <w:p>
      <w:pPr>
        <w:adjustRightInd w:val="0"/>
        <w:snapToGrid w:val="0"/>
        <w:ind w:left="1050" w:leftChars="400" w:hanging="210" w:hangingChars="100"/>
      </w:pPr>
      <w:r>
        <w:rPr>
          <w:rFonts w:hint="eastAsia"/>
        </w:rPr>
        <w:t>③ 当垂直装设2盏或3盏号灯时，这些号灯的间距应不小于1m，其中最低一盏号灯应设置在舷缘以上高度不小于2m处；</w:t>
      </w:r>
    </w:p>
    <w:p>
      <w:pPr>
        <w:adjustRightInd w:val="0"/>
        <w:snapToGrid w:val="0"/>
        <w:ind w:firstLine="840" w:firstLineChars="400"/>
      </w:pPr>
      <w:r>
        <w:rPr>
          <w:rFonts w:hint="eastAsia"/>
        </w:rPr>
        <w:t>④ 当垂直安装两盏以上号灯时，其间距应相等。</w:t>
      </w:r>
    </w:p>
    <w:p>
      <w:pPr>
        <w:adjustRightInd w:val="0"/>
        <w:snapToGrid w:val="0"/>
        <w:ind w:firstLine="420" w:firstLineChars="200"/>
      </w:pPr>
      <w:r>
        <w:rPr>
          <w:rFonts w:hint="eastAsia"/>
        </w:rPr>
        <w:t>（3）桅灯应设置在船中前部，如不可能时，应尽实际可能设置在靠前的位置。</w:t>
      </w:r>
    </w:p>
    <w:p>
      <w:pPr>
        <w:adjustRightInd w:val="0"/>
        <w:snapToGrid w:val="0"/>
        <w:ind w:firstLine="420" w:firstLineChars="200"/>
      </w:pPr>
      <w:r>
        <w:rPr>
          <w:rFonts w:hint="eastAsia"/>
        </w:rPr>
        <w:t>（4）号型间的垂直距离应至少为1.5m。可用与船舶尺度相称的较小尺度的号型，号型间距亦可相应减少。</w:t>
      </w:r>
    </w:p>
    <w:p>
      <w:pPr>
        <w:adjustRightInd w:val="0"/>
        <w:snapToGrid w:val="0"/>
        <w:ind w:firstLine="420" w:firstLineChars="200"/>
      </w:pPr>
      <w:r>
        <w:rPr>
          <w:rFonts w:hint="eastAsia"/>
        </w:rPr>
        <w:t>（5）独立设置的艉灯应装于船首、尾中心线上，并尽可能接近船尾，高度尽量与舷灯持平，但不得高出舷灯。</w:t>
      </w:r>
    </w:p>
    <w:p>
      <w:pPr>
        <w:adjustRightInd w:val="0"/>
        <w:snapToGrid w:val="0"/>
        <w:ind w:firstLine="420" w:firstLineChars="200"/>
      </w:pPr>
      <w:r>
        <w:rPr>
          <w:rFonts w:hint="eastAsia"/>
        </w:rPr>
        <w:t>（6）锚灯应安装在船舶的最易见处，一般设置在船舶的前部。</w:t>
      </w:r>
    </w:p>
    <w:p>
      <w:pPr>
        <w:adjustRightInd w:val="0"/>
        <w:snapToGrid w:val="0"/>
        <w:ind w:firstLine="420" w:firstLineChars="200"/>
      </w:pPr>
      <w:r>
        <w:rPr>
          <w:rFonts w:hint="eastAsia"/>
        </w:rPr>
        <w:t>（7）船舶失控的两盏红色环照灯应在同一垂线上，其间距满足本节7.4.2.6.（2）.b的要求。</w:t>
      </w:r>
    </w:p>
    <w:p>
      <w:pPr>
        <w:adjustRightInd w:val="0"/>
        <w:snapToGrid w:val="0"/>
        <w:ind w:firstLine="420" w:firstLineChars="200"/>
      </w:pPr>
      <w:r>
        <w:rPr>
          <w:rFonts w:hint="eastAsia"/>
        </w:rPr>
        <w:t>（8）渔船配备的2盏作业环照灯中较低的1盏白环照灯，在舷灯以上的高度应不小于2m。</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96" w:name="_Toc70411365"/>
      <w:r>
        <w:rPr>
          <w:rFonts w:hint="eastAsia" w:eastAsia="楷体"/>
          <w:b w:val="0"/>
          <w:bCs w:val="0"/>
          <w:snapToGrid w:val="0"/>
          <w:kern w:val="0"/>
          <w:sz w:val="28"/>
          <w:szCs w:val="20"/>
        </w:rPr>
        <w:t>第5节  无线电设备</w:t>
      </w:r>
      <w:bookmarkEnd w:id="92"/>
      <w:bookmarkEnd w:id="93"/>
      <w:bookmarkEnd w:id="96"/>
    </w:p>
    <w:p>
      <w:pPr>
        <w:adjustRightInd w:val="0"/>
        <w:snapToGrid w:val="0"/>
        <w:spacing w:line="320" w:lineRule="atLeast"/>
        <w:ind w:firstLine="426" w:firstLineChars="202"/>
        <w:rPr>
          <w:b/>
          <w:bCs/>
          <w:szCs w:val="21"/>
        </w:rPr>
      </w:pPr>
      <w:r>
        <w:rPr>
          <w:rFonts w:hint="eastAsia"/>
          <w:b/>
          <w:bCs/>
          <w:szCs w:val="21"/>
        </w:rPr>
        <w:t>7</w:t>
      </w:r>
      <w:r>
        <w:rPr>
          <w:b/>
          <w:bCs/>
          <w:szCs w:val="21"/>
        </w:rPr>
        <w:t>.5.1  一般要求</w:t>
      </w:r>
    </w:p>
    <w:p>
      <w:pPr>
        <w:adjustRightInd w:val="0"/>
        <w:snapToGrid w:val="0"/>
        <w:spacing w:line="320" w:lineRule="atLeast"/>
        <w:ind w:firstLine="424" w:firstLineChars="202"/>
        <w:rPr>
          <w:szCs w:val="21"/>
        </w:rPr>
      </w:pPr>
      <w:r>
        <w:rPr>
          <w:rFonts w:hint="eastAsia"/>
          <w:szCs w:val="21"/>
        </w:rPr>
        <w:t>7</w:t>
      </w:r>
      <w:r>
        <w:rPr>
          <w:szCs w:val="21"/>
        </w:rPr>
        <w:t>.5.1.1  除另有规定外，无线电设备的性能应符合本局的有关规定。</w:t>
      </w:r>
    </w:p>
    <w:p>
      <w:pPr>
        <w:adjustRightInd w:val="0"/>
        <w:snapToGrid w:val="0"/>
        <w:spacing w:line="320" w:lineRule="atLeast"/>
        <w:ind w:firstLine="424" w:firstLineChars="202"/>
        <w:rPr>
          <w:szCs w:val="21"/>
        </w:rPr>
      </w:pPr>
    </w:p>
    <w:p>
      <w:pPr>
        <w:adjustRightInd w:val="0"/>
        <w:snapToGrid w:val="0"/>
        <w:spacing w:line="320" w:lineRule="atLeast"/>
        <w:ind w:firstLine="426" w:firstLineChars="202"/>
        <w:rPr>
          <w:b/>
          <w:bCs/>
          <w:szCs w:val="21"/>
        </w:rPr>
      </w:pPr>
      <w:r>
        <w:rPr>
          <w:rFonts w:hint="eastAsia"/>
          <w:b/>
          <w:bCs/>
          <w:szCs w:val="21"/>
        </w:rPr>
        <w:t>7</w:t>
      </w:r>
      <w:r>
        <w:rPr>
          <w:b/>
          <w:bCs/>
          <w:szCs w:val="21"/>
        </w:rPr>
        <w:t>.5.2  无线电设备配备</w:t>
      </w:r>
    </w:p>
    <w:p>
      <w:pPr>
        <w:adjustRightInd w:val="0"/>
        <w:snapToGrid w:val="0"/>
        <w:spacing w:line="320" w:lineRule="atLeast"/>
        <w:ind w:firstLine="424" w:firstLineChars="202"/>
        <w:rPr>
          <w:szCs w:val="21"/>
        </w:rPr>
      </w:pPr>
      <w:r>
        <w:rPr>
          <w:rFonts w:hint="eastAsia"/>
          <w:szCs w:val="21"/>
        </w:rPr>
        <w:t>7</w:t>
      </w:r>
      <w:r>
        <w:rPr>
          <w:szCs w:val="21"/>
        </w:rPr>
        <w:t>.5.2.1  船舶应配置1台航行安全信息接收装置（或收音机），以便于船舶接收气象警告或气象预报及其他与航行安全有关的紧急信息。</w:t>
      </w:r>
    </w:p>
    <w:p>
      <w:pPr>
        <w:adjustRightInd w:val="0"/>
        <w:snapToGrid w:val="0"/>
        <w:spacing w:line="320" w:lineRule="atLeast"/>
        <w:ind w:firstLine="424" w:firstLineChars="202"/>
        <w:rPr>
          <w:szCs w:val="21"/>
        </w:rPr>
      </w:pPr>
      <w:r>
        <w:rPr>
          <w:rFonts w:hint="eastAsia"/>
          <w:szCs w:val="21"/>
        </w:rPr>
        <w:t>7.5.2.1  船舶应配置甚高频无线电话一台或手机一部。</w:t>
      </w:r>
    </w:p>
    <w:p>
      <w:pPr>
        <w:adjustRightInd w:val="0"/>
        <w:snapToGrid w:val="0"/>
        <w:spacing w:line="320" w:lineRule="atLeast"/>
        <w:ind w:firstLine="424" w:firstLineChars="202"/>
        <w:rPr>
          <w:color w:val="00B0F0"/>
        </w:rPr>
      </w:pPr>
    </w:p>
    <w:p>
      <w:pPr>
        <w:adjustRightInd w:val="0"/>
        <w:snapToGrid w:val="0"/>
        <w:spacing w:line="320" w:lineRule="atLeast"/>
        <w:ind w:firstLine="426" w:firstLineChars="202"/>
        <w:rPr>
          <w:b/>
          <w:bCs/>
          <w:szCs w:val="21"/>
        </w:rPr>
      </w:pPr>
      <w:r>
        <w:rPr>
          <w:rFonts w:hint="eastAsia"/>
          <w:b/>
          <w:bCs/>
          <w:szCs w:val="21"/>
        </w:rPr>
        <w:t>7</w:t>
      </w:r>
      <w:r>
        <w:rPr>
          <w:b/>
          <w:bCs/>
          <w:szCs w:val="21"/>
        </w:rPr>
        <w:t>.5.3  无线电设备供电</w:t>
      </w:r>
    </w:p>
    <w:p>
      <w:pPr>
        <w:adjustRightInd w:val="0"/>
        <w:snapToGrid w:val="0"/>
        <w:spacing w:line="320" w:lineRule="atLeast"/>
        <w:ind w:firstLine="424" w:firstLineChars="202"/>
        <w:rPr>
          <w:szCs w:val="21"/>
        </w:rPr>
      </w:pPr>
      <w:r>
        <w:rPr>
          <w:rFonts w:hint="eastAsia"/>
          <w:szCs w:val="21"/>
        </w:rPr>
        <w:t>7</w:t>
      </w:r>
      <w:r>
        <w:rPr>
          <w:szCs w:val="21"/>
        </w:rPr>
        <w:t xml:space="preserve">.5.3.1  </w:t>
      </w:r>
      <w:r>
        <w:rPr>
          <w:rFonts w:hint="eastAsia"/>
          <w:szCs w:val="21"/>
        </w:rPr>
        <w:t>甚高频无线电话</w:t>
      </w:r>
      <w:r>
        <w:rPr>
          <w:szCs w:val="21"/>
        </w:rPr>
        <w:t>（便携式除外）应由两套电源供电，一套为船舶电源，另一套为备用电源，备用电源应能供电1h。当蓄电池组作为船舶电源的一部分时，可不要求另外设置无线电备用电源。</w:t>
      </w:r>
    </w:p>
    <w:p>
      <w:pPr>
        <w:adjustRightInd w:val="0"/>
        <w:snapToGrid w:val="0"/>
        <w:spacing w:line="320" w:lineRule="atLeast"/>
        <w:ind w:firstLine="424" w:firstLineChars="202"/>
        <w:rPr>
          <w:szCs w:val="21"/>
        </w:rPr>
      </w:pPr>
      <w:r>
        <w:rPr>
          <w:rFonts w:hint="eastAsia"/>
          <w:szCs w:val="21"/>
        </w:rPr>
        <w:t>7</w:t>
      </w:r>
      <w:r>
        <w:rPr>
          <w:szCs w:val="21"/>
        </w:rPr>
        <w:t>.5.3.2  可携式</w:t>
      </w:r>
      <w:r>
        <w:rPr>
          <w:rFonts w:hint="eastAsia"/>
          <w:szCs w:val="21"/>
        </w:rPr>
        <w:t>甚高频无线电话或手机</w:t>
      </w:r>
      <w:r>
        <w:rPr>
          <w:szCs w:val="21"/>
        </w:rPr>
        <w:t>应至少另配1组相同容量的备用电池。</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97" w:name="_Toc70411366"/>
      <w:r>
        <w:rPr>
          <w:rFonts w:eastAsia="楷体"/>
          <w:b w:val="0"/>
          <w:bCs w:val="0"/>
          <w:snapToGrid w:val="0"/>
          <w:kern w:val="0"/>
          <w:sz w:val="28"/>
          <w:szCs w:val="20"/>
        </w:rPr>
        <w:t>第6节  防止船舶造成水域污染</w:t>
      </w:r>
      <w:bookmarkEnd w:id="94"/>
      <w:bookmarkEnd w:id="95"/>
      <w:bookmarkEnd w:id="97"/>
    </w:p>
    <w:p>
      <w:pPr>
        <w:spacing w:line="320" w:lineRule="atLeast"/>
        <w:ind w:firstLine="422" w:firstLineChars="200"/>
        <w:rPr>
          <w:b/>
          <w:szCs w:val="21"/>
        </w:rPr>
      </w:pPr>
      <w:r>
        <w:rPr>
          <w:b/>
          <w:bCs/>
          <w:szCs w:val="21"/>
        </w:rPr>
        <w:t>7.6.1  防止油类污染</w:t>
      </w:r>
    </w:p>
    <w:p>
      <w:pPr>
        <w:adjustRightInd w:val="0"/>
        <w:snapToGrid w:val="0"/>
        <w:spacing w:line="320" w:lineRule="atLeast"/>
        <w:ind w:firstLine="424" w:firstLineChars="202"/>
        <w:rPr>
          <w:rFonts w:eastAsiaTheme="minorEastAsia"/>
          <w:szCs w:val="21"/>
        </w:rPr>
      </w:pPr>
      <w:r>
        <w:rPr>
          <w:rFonts w:eastAsiaTheme="minorEastAsia"/>
          <w:szCs w:val="21"/>
        </w:rPr>
        <w:t>7.6.1.1  2021年1月1日前建造的内河渔船应装设1套满足本节7.6.1.4要求的滤油设备或满足本节7.6.1.6要求的污油水舱柜定期排放给港口接收设备。</w:t>
      </w:r>
    </w:p>
    <w:p>
      <w:pPr>
        <w:adjustRightInd w:val="0"/>
        <w:snapToGrid w:val="0"/>
        <w:spacing w:line="320" w:lineRule="atLeast"/>
        <w:ind w:firstLine="424" w:firstLineChars="202"/>
        <w:rPr>
          <w:rFonts w:eastAsiaTheme="minorEastAsia"/>
          <w:szCs w:val="21"/>
        </w:rPr>
      </w:pPr>
      <w:r>
        <w:rPr>
          <w:rFonts w:eastAsiaTheme="minorEastAsia"/>
          <w:szCs w:val="21"/>
        </w:rPr>
        <w:t>7.6.1.2   2021年1月1日后建造的内河渔船应设置满足本节7.6.1.6要求的污油水舱柜定期排放给港口接收设备。</w:t>
      </w:r>
    </w:p>
    <w:p>
      <w:pPr>
        <w:adjustRightInd w:val="0"/>
        <w:snapToGrid w:val="0"/>
        <w:spacing w:line="320" w:lineRule="atLeast"/>
        <w:ind w:firstLine="424" w:firstLineChars="202"/>
        <w:rPr>
          <w:rFonts w:eastAsiaTheme="minorEastAsia"/>
          <w:szCs w:val="21"/>
        </w:rPr>
      </w:pPr>
      <w:r>
        <w:rPr>
          <w:rFonts w:eastAsiaTheme="minorEastAsia"/>
          <w:szCs w:val="21"/>
        </w:rPr>
        <w:t>7.6.1.3  所有国内海洋渔船应装设1套满足本节7.6.1.4要求的滤油设备或满足本节7.6.1.6要求的污油水舱柜定期排放给港口接收设备。</w:t>
      </w:r>
    </w:p>
    <w:p>
      <w:pPr>
        <w:adjustRightInd w:val="0"/>
        <w:snapToGrid w:val="0"/>
        <w:spacing w:line="320" w:lineRule="atLeast"/>
        <w:ind w:firstLine="424" w:firstLineChars="202"/>
        <w:rPr>
          <w:rFonts w:eastAsiaTheme="minorEastAsia"/>
          <w:szCs w:val="21"/>
        </w:rPr>
      </w:pPr>
      <w:r>
        <w:rPr>
          <w:rFonts w:eastAsiaTheme="minorEastAsia"/>
          <w:szCs w:val="21"/>
        </w:rPr>
        <w:t>7.6.1.4  船舶排放的处理水的含油量应不超过15ppm。不应用稀释等任何操作方法排放未经处理的污油水。</w:t>
      </w:r>
    </w:p>
    <w:p>
      <w:pPr>
        <w:adjustRightInd w:val="0"/>
        <w:snapToGrid w:val="0"/>
        <w:spacing w:line="320" w:lineRule="atLeast"/>
        <w:ind w:firstLine="424" w:firstLineChars="202"/>
        <w:rPr>
          <w:rFonts w:eastAsiaTheme="minorEastAsia"/>
          <w:szCs w:val="21"/>
        </w:rPr>
      </w:pPr>
      <w:r>
        <w:rPr>
          <w:rFonts w:eastAsiaTheme="minorEastAsia"/>
          <w:szCs w:val="21"/>
        </w:rPr>
        <w:t>7.6.1.5  装设滤油设备的船舶，应当设置储存污油的柜或适合的容器。</w:t>
      </w:r>
    </w:p>
    <w:p>
      <w:pPr>
        <w:adjustRightInd w:val="0"/>
        <w:snapToGrid w:val="0"/>
        <w:spacing w:line="320" w:lineRule="atLeast"/>
        <w:ind w:firstLine="424" w:firstLineChars="202"/>
        <w:rPr>
          <w:rFonts w:eastAsiaTheme="minorEastAsia"/>
          <w:szCs w:val="21"/>
        </w:rPr>
      </w:pPr>
      <w:r>
        <w:rPr>
          <w:rFonts w:eastAsiaTheme="minorEastAsia"/>
          <w:szCs w:val="21"/>
        </w:rPr>
        <w:t>7.6.1.6  污油水舱柜可为固定或活动式容器，其容积应不小于按下式计算之值：</w:t>
      </w:r>
    </w:p>
    <w:p>
      <w:pPr>
        <w:adjustRightInd w:val="0"/>
        <w:snapToGrid w:val="0"/>
        <w:spacing w:line="320" w:lineRule="atLeast"/>
        <w:ind w:firstLine="424" w:firstLineChars="202"/>
        <w:jc w:val="center"/>
        <w:rPr>
          <w:rFonts w:eastAsiaTheme="minorEastAsia"/>
          <w:szCs w:val="21"/>
        </w:rPr>
      </w:pPr>
      <w:r>
        <w:rPr>
          <w:rFonts w:eastAsiaTheme="minorEastAsia"/>
          <w:i/>
          <w:szCs w:val="21"/>
        </w:rPr>
        <w:t>V</w:t>
      </w:r>
      <w:r>
        <w:rPr>
          <w:rFonts w:eastAsiaTheme="minorEastAsia"/>
          <w:szCs w:val="21"/>
        </w:rPr>
        <w:t xml:space="preserve"> = 0.05</w:t>
      </w:r>
      <w:r>
        <w:rPr>
          <w:rFonts w:eastAsiaTheme="minorEastAsia"/>
          <w:i/>
          <w:szCs w:val="21"/>
        </w:rPr>
        <w:t>tP</w:t>
      </w:r>
      <w:r>
        <w:rPr>
          <w:rFonts w:eastAsiaTheme="minorEastAsia"/>
          <w:szCs w:val="21"/>
        </w:rPr>
        <w:t xml:space="preserve"> + 3</w:t>
      </w:r>
      <w:r>
        <w:rPr>
          <w:rFonts w:eastAsiaTheme="minorEastAsia"/>
          <w:i/>
          <w:szCs w:val="21"/>
        </w:rPr>
        <w:t>t</w:t>
      </w:r>
      <w:r>
        <w:rPr>
          <w:rFonts w:eastAsiaTheme="minorEastAsia"/>
          <w:szCs w:val="21"/>
        </w:rPr>
        <w:t xml:space="preserve">   L</w:t>
      </w:r>
    </w:p>
    <w:p>
      <w:pPr>
        <w:adjustRightInd w:val="0"/>
        <w:snapToGrid w:val="0"/>
        <w:spacing w:line="320" w:lineRule="atLeast"/>
        <w:ind w:firstLine="424" w:firstLineChars="202"/>
        <w:rPr>
          <w:rFonts w:eastAsiaTheme="minorEastAsia"/>
          <w:szCs w:val="21"/>
        </w:rPr>
      </w:pPr>
      <w:r>
        <w:rPr>
          <w:rFonts w:eastAsiaTheme="minorEastAsia"/>
          <w:szCs w:val="21"/>
        </w:rPr>
        <w:t>式中：</w:t>
      </w:r>
      <w:r>
        <w:rPr>
          <w:rFonts w:eastAsiaTheme="minorEastAsia"/>
          <w:i/>
          <w:szCs w:val="21"/>
        </w:rPr>
        <w:t>t</w:t>
      </w:r>
      <w:r>
        <w:rPr>
          <w:rFonts w:eastAsiaTheme="minorEastAsia"/>
          <w:szCs w:val="21"/>
        </w:rPr>
        <w:t xml:space="preserve"> ——船舶计划排放污油水的时间间隔，h，其计算取值应不小于设有接收设备的港口至航程最远目的地往返航程及作业所需要的总时间；</w:t>
      </w:r>
    </w:p>
    <w:p>
      <w:pPr>
        <w:adjustRightInd w:val="0"/>
        <w:snapToGrid w:val="0"/>
        <w:spacing w:line="320" w:lineRule="atLeast"/>
        <w:ind w:left="416" w:firstLine="575" w:firstLineChars="274"/>
        <w:rPr>
          <w:rFonts w:eastAsiaTheme="minorEastAsia"/>
          <w:szCs w:val="21"/>
        </w:rPr>
      </w:pPr>
      <w:r>
        <w:rPr>
          <w:rFonts w:eastAsiaTheme="minorEastAsia"/>
          <w:i/>
          <w:szCs w:val="21"/>
        </w:rPr>
        <w:t>P</w:t>
      </w:r>
      <w:r>
        <w:rPr>
          <w:rFonts w:eastAsiaTheme="minorEastAsia"/>
          <w:szCs w:val="21"/>
        </w:rPr>
        <w:t xml:space="preserve"> —船舶主、辅柴油机总功率，kW。</w:t>
      </w:r>
    </w:p>
    <w:p>
      <w:pPr>
        <w:adjustRightInd w:val="0"/>
        <w:snapToGrid w:val="0"/>
        <w:spacing w:line="320" w:lineRule="atLeast"/>
        <w:ind w:firstLine="424" w:firstLineChars="202"/>
        <w:rPr>
          <w:rFonts w:eastAsiaTheme="minorEastAsia"/>
          <w:szCs w:val="21"/>
        </w:rPr>
      </w:pPr>
      <w:r>
        <w:rPr>
          <w:rFonts w:eastAsiaTheme="minorEastAsia"/>
          <w:szCs w:val="21"/>
        </w:rPr>
        <w:t>7.6.1.7  甲板动力机械及挂桨机处应设置油盘或具有其他可靠的收集泄漏残油的措施。</w:t>
      </w:r>
    </w:p>
    <w:p>
      <w:pPr>
        <w:adjustRightInd w:val="0"/>
        <w:snapToGrid w:val="0"/>
        <w:spacing w:line="320" w:lineRule="atLeast"/>
        <w:ind w:firstLine="424" w:firstLineChars="202"/>
        <w:rPr>
          <w:rFonts w:eastAsiaTheme="minorEastAsia"/>
          <w:szCs w:val="21"/>
        </w:rPr>
      </w:pPr>
      <w:r>
        <w:rPr>
          <w:rFonts w:eastAsiaTheme="minorEastAsia"/>
          <w:szCs w:val="21"/>
        </w:rPr>
        <w:t>7.6.1.8  严禁将污油水直接排放在水域。</w:t>
      </w:r>
    </w:p>
    <w:p>
      <w:pPr>
        <w:spacing w:line="320" w:lineRule="atLeast"/>
        <w:ind w:firstLine="420" w:firstLineChars="200"/>
        <w:rPr>
          <w:color w:val="FF0000"/>
          <w:szCs w:val="21"/>
        </w:rPr>
      </w:pPr>
    </w:p>
    <w:p>
      <w:pPr>
        <w:spacing w:line="320" w:lineRule="atLeast"/>
        <w:ind w:firstLine="422" w:firstLineChars="200"/>
        <w:rPr>
          <w:b/>
          <w:bCs/>
          <w:szCs w:val="21"/>
        </w:rPr>
      </w:pPr>
      <w:r>
        <w:rPr>
          <w:b/>
          <w:bCs/>
          <w:szCs w:val="21"/>
        </w:rPr>
        <w:t>7.6.2  防止垃圾污染</w:t>
      </w:r>
    </w:p>
    <w:p>
      <w:pPr>
        <w:autoSpaceDE w:val="0"/>
        <w:autoSpaceDN w:val="0"/>
        <w:adjustRightInd w:val="0"/>
        <w:ind w:firstLine="420"/>
        <w:rPr>
          <w:szCs w:val="21"/>
        </w:rPr>
      </w:pPr>
      <w:r>
        <w:rPr>
          <w:szCs w:val="21"/>
        </w:rPr>
        <w:t xml:space="preserve">7.6.2.1  </w:t>
      </w:r>
      <w:r>
        <w:rPr>
          <w:kern w:val="0"/>
          <w:szCs w:val="21"/>
        </w:rPr>
        <w:t>所有船舶垃圾应储存在垃圾收集装置中，定期由船/岸有关部门予以接收。不应排往水域。</w:t>
      </w:r>
    </w:p>
    <w:p>
      <w:pPr>
        <w:autoSpaceDE w:val="0"/>
        <w:autoSpaceDN w:val="0"/>
        <w:adjustRightInd w:val="0"/>
        <w:ind w:firstLine="420"/>
        <w:rPr>
          <w:kern w:val="0"/>
          <w:szCs w:val="21"/>
        </w:rPr>
      </w:pPr>
      <w:r>
        <w:rPr>
          <w:kern w:val="0"/>
          <w:szCs w:val="21"/>
        </w:rPr>
        <w:t>7.6.2.2  每船至少配备可回收和不可回收垃圾桶各一只，容量为20L，且应配备一定数量的备用垃圾袋，垃圾袋应厚实、不易破损。</w:t>
      </w:r>
    </w:p>
    <w:p>
      <w:pPr>
        <w:autoSpaceDE w:val="0"/>
        <w:autoSpaceDN w:val="0"/>
        <w:adjustRightInd w:val="0"/>
        <w:jc w:val="left"/>
        <w:rPr>
          <w:bCs/>
          <w:color w:val="ED7D31" w:themeColor="accent2"/>
          <w:szCs w:val="21"/>
          <w14:textFill>
            <w14:solidFill>
              <w14:schemeClr w14:val="accent2"/>
            </w14:solidFill>
          </w14:textFill>
        </w:rPr>
      </w:pPr>
    </w:p>
    <w:p>
      <w:pPr>
        <w:spacing w:line="320" w:lineRule="atLeast"/>
        <w:ind w:firstLine="422" w:firstLineChars="200"/>
        <w:rPr>
          <w:b/>
          <w:bCs/>
          <w:szCs w:val="21"/>
        </w:rPr>
      </w:pPr>
      <w:r>
        <w:rPr>
          <w:b/>
          <w:bCs/>
          <w:szCs w:val="21"/>
        </w:rPr>
        <w:t>7.6.3  防止空气污染</w:t>
      </w:r>
    </w:p>
    <w:p>
      <w:pPr>
        <w:autoSpaceDE w:val="0"/>
        <w:autoSpaceDN w:val="0"/>
        <w:adjustRightInd w:val="0"/>
        <w:ind w:firstLine="420"/>
        <w:rPr>
          <w:kern w:val="0"/>
          <w:szCs w:val="21"/>
        </w:rPr>
      </w:pPr>
      <w:r>
        <w:rPr>
          <w:kern w:val="0"/>
          <w:szCs w:val="21"/>
        </w:rPr>
        <w:t>7.6.3.1  额定净功率37kW</w:t>
      </w:r>
      <w:r>
        <w:rPr>
          <w:rFonts w:hint="eastAsia"/>
          <w:kern w:val="0"/>
          <w:szCs w:val="21"/>
        </w:rPr>
        <w:t>以上的</w:t>
      </w:r>
      <w:r>
        <w:rPr>
          <w:kern w:val="0"/>
          <w:szCs w:val="21"/>
        </w:rPr>
        <w:t>渔船</w:t>
      </w:r>
      <w:r>
        <w:rPr>
          <w:rFonts w:hint="eastAsia"/>
          <w:kern w:val="0"/>
          <w:szCs w:val="21"/>
        </w:rPr>
        <w:t>柴油机</w:t>
      </w:r>
      <w:r>
        <w:rPr>
          <w:kern w:val="0"/>
          <w:szCs w:val="21"/>
        </w:rPr>
        <w:t>一般分为以下2类：</w:t>
      </w:r>
    </w:p>
    <w:p>
      <w:pPr>
        <w:autoSpaceDE w:val="0"/>
        <w:autoSpaceDN w:val="0"/>
        <w:adjustRightInd w:val="0"/>
        <w:ind w:firstLine="420"/>
        <w:rPr>
          <w:kern w:val="0"/>
          <w:szCs w:val="21"/>
        </w:rPr>
      </w:pPr>
      <w:r>
        <w:rPr>
          <w:kern w:val="0"/>
          <w:szCs w:val="21"/>
        </w:rPr>
        <w:t>（1）第1类柴油机——系指额定功率大于或等于37kW并且单缸排量小于5L的船用柴油机。</w:t>
      </w:r>
    </w:p>
    <w:p>
      <w:pPr>
        <w:autoSpaceDE w:val="0"/>
        <w:autoSpaceDN w:val="0"/>
        <w:adjustRightInd w:val="0"/>
        <w:ind w:firstLine="420"/>
        <w:rPr>
          <w:kern w:val="0"/>
          <w:szCs w:val="21"/>
        </w:rPr>
      </w:pPr>
      <w:r>
        <w:rPr>
          <w:kern w:val="0"/>
          <w:szCs w:val="21"/>
        </w:rPr>
        <w:t>（2）第2类柴油机——系指单缸排量大于或等于5L且小于30L的船用柴油机。</w:t>
      </w:r>
    </w:p>
    <w:p>
      <w:pPr>
        <w:autoSpaceDE w:val="0"/>
        <w:autoSpaceDN w:val="0"/>
        <w:adjustRightInd w:val="0"/>
        <w:ind w:firstLine="420"/>
        <w:rPr>
          <w:kern w:val="0"/>
          <w:szCs w:val="21"/>
        </w:rPr>
      </w:pPr>
      <w:r>
        <w:rPr>
          <w:kern w:val="0"/>
          <w:szCs w:val="21"/>
        </w:rPr>
        <w:t>7.6.3.2  新建船舶上第1类和第2类柴油机，其排气污染物中的一氧化碳（CO）、碳氢化合物（HC）、氮氧化物（NOx）和颗粒物（PM）的总加权排放量，乘以按照《GB15097-2016船舶发动机排气污染物排放限值及测量方法(中国第一、二阶段)》附件BD所确定的劣化系数（安装排气后处理系统的柴油机），或加上按照《GB15097-2016船舶发动机排气污染物排放限值及测量方法(中国第一、二阶段)》附件BD所确定的劣化修正值系数（未安装排气后处理系统的柴油机）其结果应不超出表7.6.3.1规定的限值。</w:t>
      </w:r>
    </w:p>
    <w:p>
      <w:pPr>
        <w:autoSpaceDE w:val="0"/>
        <w:autoSpaceDN w:val="0"/>
        <w:adjustRightInd w:val="0"/>
        <w:ind w:firstLine="420"/>
        <w:jc w:val="left"/>
        <w:rPr>
          <w:kern w:val="0"/>
          <w:szCs w:val="21"/>
        </w:rPr>
      </w:pPr>
    </w:p>
    <w:p>
      <w:pPr>
        <w:wordWrap w:val="0"/>
        <w:spacing w:line="320" w:lineRule="atLeast"/>
        <w:ind w:firstLine="420" w:firstLineChars="200"/>
        <w:jc w:val="right"/>
        <w:rPr>
          <w:szCs w:val="21"/>
        </w:rPr>
      </w:pPr>
      <w:r>
        <w:rPr>
          <w:rFonts w:eastAsia="黑体"/>
          <w:szCs w:val="21"/>
        </w:rPr>
        <w:t xml:space="preserve">柴油机排气污染物排放限值            </w:t>
      </w:r>
      <w:r>
        <w:rPr>
          <w:kern w:val="0"/>
          <w:szCs w:val="21"/>
        </w:rPr>
        <w:t xml:space="preserve">       表7.6.3.1</w:t>
      </w:r>
      <w:r>
        <w:rPr>
          <w:szCs w:val="21"/>
        </w:rPr>
        <w:t xml:space="preserve"> </w:t>
      </w:r>
    </w:p>
    <w:tbl>
      <w:tblPr>
        <w:tblStyle w:val="15"/>
        <w:tblW w:w="4696" w:type="pct"/>
        <w:jc w:val="right"/>
        <w:tblLayout w:type="fixed"/>
        <w:tblCellMar>
          <w:top w:w="0" w:type="dxa"/>
          <w:left w:w="108" w:type="dxa"/>
          <w:bottom w:w="0" w:type="dxa"/>
          <w:right w:w="108" w:type="dxa"/>
        </w:tblCellMar>
      </w:tblPr>
      <w:tblGrid>
        <w:gridCol w:w="871"/>
        <w:gridCol w:w="1499"/>
        <w:gridCol w:w="1437"/>
        <w:gridCol w:w="1422"/>
        <w:gridCol w:w="1256"/>
        <w:gridCol w:w="1519"/>
      </w:tblGrid>
      <w:tr>
        <w:tblPrEx>
          <w:tblCellMar>
            <w:top w:w="0" w:type="dxa"/>
            <w:left w:w="108" w:type="dxa"/>
            <w:bottom w:w="0" w:type="dxa"/>
            <w:right w:w="108" w:type="dxa"/>
          </w:tblCellMar>
        </w:tblPrEx>
        <w:trPr>
          <w:trHeight w:val="322" w:hRule="atLeast"/>
          <w:jc w:val="right"/>
        </w:trPr>
        <w:tc>
          <w:tcPr>
            <w:tcW w:w="544"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柴油机类型</w:t>
            </w:r>
          </w:p>
        </w:tc>
        <w:tc>
          <w:tcPr>
            <w:tcW w:w="936"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单缸排量（SV）（L/缸）</w:t>
            </w:r>
          </w:p>
        </w:tc>
        <w:tc>
          <w:tcPr>
            <w:tcW w:w="89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额定功率</w:t>
            </w:r>
          </w:p>
          <w:p>
            <w:pPr>
              <w:topLinePunct/>
              <w:adjustRightInd w:val="0"/>
              <w:snapToGrid w:val="0"/>
              <w:jc w:val="center"/>
              <w:rPr>
                <w:sz w:val="18"/>
                <w:szCs w:val="18"/>
              </w:rPr>
            </w:pPr>
            <w:r>
              <w:rPr>
                <w:sz w:val="18"/>
                <w:szCs w:val="18"/>
              </w:rPr>
              <w:t>（P）（kW）</w:t>
            </w:r>
          </w:p>
        </w:tc>
        <w:tc>
          <w:tcPr>
            <w:tcW w:w="88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CO (g/kWh)</w:t>
            </w:r>
          </w:p>
        </w:tc>
        <w:tc>
          <w:tcPr>
            <w:tcW w:w="785"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HC+NO</w:t>
            </w:r>
            <w:r>
              <w:rPr>
                <w:sz w:val="18"/>
                <w:szCs w:val="18"/>
                <w:vertAlign w:val="subscript"/>
              </w:rPr>
              <w:t>X</w:t>
            </w:r>
            <w:r>
              <w:rPr>
                <w:sz w:val="18"/>
                <w:szCs w:val="18"/>
              </w:rPr>
              <w:t xml:space="preserve"> (g/kWh)</w:t>
            </w:r>
          </w:p>
        </w:tc>
        <w:tc>
          <w:tcPr>
            <w:tcW w:w="94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PM (g/kWh)</w:t>
            </w:r>
          </w:p>
        </w:tc>
      </w:tr>
      <w:tr>
        <w:tblPrEx>
          <w:tblCellMar>
            <w:top w:w="0" w:type="dxa"/>
            <w:left w:w="108" w:type="dxa"/>
            <w:bottom w:w="0" w:type="dxa"/>
            <w:right w:w="108" w:type="dxa"/>
          </w:tblCellMar>
        </w:tblPrEx>
        <w:trPr>
          <w:trHeight w:val="165" w:hRule="atLeast"/>
          <w:jc w:val="right"/>
        </w:trPr>
        <w:tc>
          <w:tcPr>
            <w:tcW w:w="544" w:type="pct"/>
            <w:vMerge w:val="restar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第1类</w:t>
            </w:r>
          </w:p>
        </w:tc>
        <w:tc>
          <w:tcPr>
            <w:tcW w:w="936"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SV＜0.9</w:t>
            </w:r>
          </w:p>
        </w:tc>
        <w:tc>
          <w:tcPr>
            <w:tcW w:w="89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P≥37</w:t>
            </w:r>
          </w:p>
        </w:tc>
        <w:tc>
          <w:tcPr>
            <w:tcW w:w="88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5.0</w:t>
            </w:r>
          </w:p>
        </w:tc>
        <w:tc>
          <w:tcPr>
            <w:tcW w:w="785"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5.8</w:t>
            </w:r>
          </w:p>
        </w:tc>
        <w:tc>
          <w:tcPr>
            <w:tcW w:w="94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0.30</w:t>
            </w:r>
          </w:p>
        </w:tc>
      </w:tr>
      <w:tr>
        <w:tblPrEx>
          <w:tblCellMar>
            <w:top w:w="0" w:type="dxa"/>
            <w:left w:w="108" w:type="dxa"/>
            <w:bottom w:w="0" w:type="dxa"/>
            <w:right w:w="108" w:type="dxa"/>
          </w:tblCellMar>
        </w:tblPrEx>
        <w:trPr>
          <w:trHeight w:val="157" w:hRule="atLeast"/>
          <w:jc w:val="right"/>
        </w:trPr>
        <w:tc>
          <w:tcPr>
            <w:tcW w:w="544" w:type="pct"/>
            <w:vMerge w:val="continue"/>
            <w:tcBorders>
              <w:top w:val="single" w:color="auto" w:sz="4" w:space="0"/>
              <w:left w:val="single" w:color="auto" w:sz="4" w:space="0"/>
              <w:bottom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1834" w:type="pct"/>
            <w:gridSpan w:val="2"/>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0.9≤SV＜1.2</w:t>
            </w:r>
          </w:p>
        </w:tc>
        <w:tc>
          <w:tcPr>
            <w:tcW w:w="88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5.0</w:t>
            </w:r>
          </w:p>
        </w:tc>
        <w:tc>
          <w:tcPr>
            <w:tcW w:w="785" w:type="pct"/>
            <w:tcBorders>
              <w:top w:val="single" w:color="auto" w:sz="4" w:space="0"/>
              <w:left w:val="single" w:color="auto" w:sz="4" w:space="0"/>
              <w:bottom w:val="single" w:color="auto" w:sz="4" w:space="0"/>
              <w:right w:val="single" w:color="auto" w:sz="4" w:space="0"/>
            </w:tcBorders>
          </w:tcPr>
          <w:p>
            <w:pPr>
              <w:jc w:val="center"/>
            </w:pPr>
            <w:r>
              <w:rPr>
                <w:sz w:val="18"/>
                <w:szCs w:val="18"/>
              </w:rPr>
              <w:t>5.8</w:t>
            </w:r>
          </w:p>
        </w:tc>
        <w:tc>
          <w:tcPr>
            <w:tcW w:w="94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0.14</w:t>
            </w:r>
          </w:p>
        </w:tc>
      </w:tr>
      <w:tr>
        <w:tblPrEx>
          <w:tblCellMar>
            <w:top w:w="0" w:type="dxa"/>
            <w:left w:w="108" w:type="dxa"/>
            <w:bottom w:w="0" w:type="dxa"/>
            <w:right w:w="108" w:type="dxa"/>
          </w:tblCellMar>
        </w:tblPrEx>
        <w:trPr>
          <w:trHeight w:val="227" w:hRule="atLeast"/>
          <w:jc w:val="right"/>
        </w:trPr>
        <w:tc>
          <w:tcPr>
            <w:tcW w:w="544" w:type="pct"/>
            <w:vMerge w:val="continue"/>
            <w:tcBorders>
              <w:top w:val="single" w:color="auto" w:sz="4" w:space="0"/>
              <w:left w:val="single" w:color="auto" w:sz="4" w:space="0"/>
              <w:bottom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1834" w:type="pct"/>
            <w:gridSpan w:val="2"/>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1.2≤SV＜5</w:t>
            </w:r>
          </w:p>
        </w:tc>
        <w:tc>
          <w:tcPr>
            <w:tcW w:w="88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5.0</w:t>
            </w:r>
          </w:p>
        </w:tc>
        <w:tc>
          <w:tcPr>
            <w:tcW w:w="785" w:type="pct"/>
            <w:tcBorders>
              <w:top w:val="single" w:color="auto" w:sz="4" w:space="0"/>
              <w:left w:val="single" w:color="auto" w:sz="4" w:space="0"/>
              <w:bottom w:val="single" w:color="auto" w:sz="4" w:space="0"/>
              <w:right w:val="single" w:color="auto" w:sz="4" w:space="0"/>
            </w:tcBorders>
          </w:tcPr>
          <w:p>
            <w:pPr>
              <w:jc w:val="center"/>
            </w:pPr>
            <w:r>
              <w:rPr>
                <w:sz w:val="18"/>
                <w:szCs w:val="18"/>
              </w:rPr>
              <w:t>5.8</w:t>
            </w:r>
          </w:p>
        </w:tc>
        <w:tc>
          <w:tcPr>
            <w:tcW w:w="94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0.12</w:t>
            </w:r>
          </w:p>
        </w:tc>
      </w:tr>
      <w:tr>
        <w:tblPrEx>
          <w:tblCellMar>
            <w:top w:w="0" w:type="dxa"/>
            <w:left w:w="108" w:type="dxa"/>
            <w:bottom w:w="0" w:type="dxa"/>
            <w:right w:w="108" w:type="dxa"/>
          </w:tblCellMar>
        </w:tblPrEx>
        <w:trPr>
          <w:trHeight w:val="165" w:hRule="atLeast"/>
          <w:jc w:val="right"/>
        </w:trPr>
        <w:tc>
          <w:tcPr>
            <w:tcW w:w="544" w:type="pct"/>
            <w:vMerge w:val="restart"/>
            <w:tcBorders>
              <w:top w:val="single" w:color="auto" w:sz="4" w:space="0"/>
              <w:left w:val="single" w:color="auto" w:sz="4" w:space="0"/>
              <w:bottom w:val="single" w:color="auto" w:sz="4" w:space="0"/>
              <w:right w:val="single" w:color="auto" w:sz="4" w:space="0"/>
            </w:tcBorders>
            <w:vAlign w:val="center"/>
          </w:tcPr>
          <w:p>
            <w:pPr>
              <w:topLinePunct/>
              <w:adjustRightInd w:val="0"/>
              <w:snapToGrid w:val="0"/>
              <w:rPr>
                <w:sz w:val="18"/>
                <w:szCs w:val="18"/>
              </w:rPr>
            </w:pPr>
            <w:r>
              <w:rPr>
                <w:sz w:val="18"/>
                <w:szCs w:val="18"/>
              </w:rPr>
              <w:t>第2类</w:t>
            </w:r>
          </w:p>
        </w:tc>
        <w:tc>
          <w:tcPr>
            <w:tcW w:w="936" w:type="pct"/>
            <w:vMerge w:val="restart"/>
            <w:tcBorders>
              <w:top w:val="single" w:color="auto" w:sz="4" w:space="0"/>
              <w:left w:val="single" w:color="auto" w:sz="4" w:space="0"/>
              <w:right w:val="single" w:color="auto" w:sz="4" w:space="0"/>
            </w:tcBorders>
            <w:vAlign w:val="center"/>
          </w:tcPr>
          <w:p>
            <w:pPr>
              <w:topLinePunct/>
              <w:adjustRightInd w:val="0"/>
              <w:snapToGrid w:val="0"/>
              <w:jc w:val="center"/>
              <w:rPr>
                <w:sz w:val="18"/>
                <w:szCs w:val="18"/>
              </w:rPr>
            </w:pPr>
            <w:r>
              <w:rPr>
                <w:sz w:val="18"/>
                <w:szCs w:val="18"/>
              </w:rPr>
              <w:t>5≤SV＜15</w:t>
            </w:r>
          </w:p>
        </w:tc>
        <w:tc>
          <w:tcPr>
            <w:tcW w:w="89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P＜2000</w:t>
            </w:r>
          </w:p>
        </w:tc>
        <w:tc>
          <w:tcPr>
            <w:tcW w:w="888"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5.0</w:t>
            </w:r>
          </w:p>
        </w:tc>
        <w:tc>
          <w:tcPr>
            <w:tcW w:w="785"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6.2</w:t>
            </w:r>
          </w:p>
        </w:tc>
        <w:tc>
          <w:tcPr>
            <w:tcW w:w="94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0.14</w:t>
            </w:r>
          </w:p>
        </w:tc>
      </w:tr>
      <w:tr>
        <w:tblPrEx>
          <w:tblCellMar>
            <w:top w:w="0" w:type="dxa"/>
            <w:left w:w="108" w:type="dxa"/>
            <w:bottom w:w="0" w:type="dxa"/>
            <w:right w:w="108" w:type="dxa"/>
          </w:tblCellMar>
        </w:tblPrEx>
        <w:trPr>
          <w:trHeight w:val="165" w:hRule="atLeast"/>
          <w:jc w:val="right"/>
        </w:trPr>
        <w:tc>
          <w:tcPr>
            <w:tcW w:w="544" w:type="pct"/>
            <w:vMerge w:val="continue"/>
            <w:tcBorders>
              <w:top w:val="single" w:color="auto" w:sz="4" w:space="0"/>
              <w:left w:val="single" w:color="auto" w:sz="4" w:space="0"/>
              <w:bottom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936" w:type="pct"/>
            <w:vMerge w:val="continue"/>
            <w:tcBorders>
              <w:left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89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2000≤P＜3300</w:t>
            </w:r>
          </w:p>
        </w:tc>
        <w:tc>
          <w:tcPr>
            <w:tcW w:w="888"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5.0</w:t>
            </w:r>
          </w:p>
        </w:tc>
        <w:tc>
          <w:tcPr>
            <w:tcW w:w="785"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7.8</w:t>
            </w:r>
          </w:p>
        </w:tc>
        <w:tc>
          <w:tcPr>
            <w:tcW w:w="94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0.14</w:t>
            </w:r>
          </w:p>
        </w:tc>
      </w:tr>
      <w:tr>
        <w:tblPrEx>
          <w:tblCellMar>
            <w:top w:w="0" w:type="dxa"/>
            <w:left w:w="108" w:type="dxa"/>
            <w:bottom w:w="0" w:type="dxa"/>
            <w:right w:w="108" w:type="dxa"/>
          </w:tblCellMar>
        </w:tblPrEx>
        <w:trPr>
          <w:trHeight w:val="165" w:hRule="atLeast"/>
          <w:jc w:val="right"/>
        </w:trPr>
        <w:tc>
          <w:tcPr>
            <w:tcW w:w="544" w:type="pct"/>
            <w:vMerge w:val="continue"/>
            <w:tcBorders>
              <w:top w:val="single" w:color="auto" w:sz="4" w:space="0"/>
              <w:left w:val="single" w:color="auto" w:sz="4" w:space="0"/>
              <w:bottom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936" w:type="pct"/>
            <w:vMerge w:val="continue"/>
            <w:tcBorders>
              <w:left w:val="single" w:color="auto" w:sz="4" w:space="0"/>
              <w:bottom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89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P≥3300</w:t>
            </w:r>
          </w:p>
        </w:tc>
        <w:tc>
          <w:tcPr>
            <w:tcW w:w="888"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5.0</w:t>
            </w:r>
          </w:p>
        </w:tc>
        <w:tc>
          <w:tcPr>
            <w:tcW w:w="785"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7.8</w:t>
            </w:r>
          </w:p>
        </w:tc>
        <w:tc>
          <w:tcPr>
            <w:tcW w:w="949"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0.27</w:t>
            </w:r>
          </w:p>
        </w:tc>
      </w:tr>
      <w:tr>
        <w:tblPrEx>
          <w:tblCellMar>
            <w:top w:w="0" w:type="dxa"/>
            <w:left w:w="108" w:type="dxa"/>
            <w:bottom w:w="0" w:type="dxa"/>
            <w:right w:w="108" w:type="dxa"/>
          </w:tblCellMar>
        </w:tblPrEx>
        <w:trPr>
          <w:trHeight w:val="165" w:hRule="atLeast"/>
          <w:jc w:val="right"/>
        </w:trPr>
        <w:tc>
          <w:tcPr>
            <w:tcW w:w="544" w:type="pct"/>
            <w:vMerge w:val="continue"/>
            <w:tcBorders>
              <w:top w:val="single" w:color="auto" w:sz="4" w:space="0"/>
              <w:left w:val="single" w:color="auto" w:sz="4" w:space="0"/>
              <w:bottom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936" w:type="pct"/>
            <w:vMerge w:val="restart"/>
            <w:tcBorders>
              <w:left w:val="single" w:color="auto" w:sz="4" w:space="0"/>
              <w:right w:val="single" w:color="auto" w:sz="4" w:space="0"/>
            </w:tcBorders>
            <w:vAlign w:val="center"/>
          </w:tcPr>
          <w:p>
            <w:pPr>
              <w:topLinePunct/>
              <w:adjustRightInd w:val="0"/>
              <w:snapToGrid w:val="0"/>
              <w:ind w:firstLine="360" w:firstLineChars="200"/>
              <w:jc w:val="center"/>
              <w:rPr>
                <w:sz w:val="18"/>
                <w:szCs w:val="18"/>
              </w:rPr>
            </w:pPr>
            <w:r>
              <w:rPr>
                <w:sz w:val="18"/>
                <w:szCs w:val="18"/>
              </w:rPr>
              <w:t>15≤SV＜20</w:t>
            </w:r>
          </w:p>
        </w:tc>
        <w:tc>
          <w:tcPr>
            <w:tcW w:w="89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P＜2000</w:t>
            </w:r>
          </w:p>
        </w:tc>
        <w:tc>
          <w:tcPr>
            <w:tcW w:w="888"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5.0</w:t>
            </w:r>
          </w:p>
        </w:tc>
        <w:tc>
          <w:tcPr>
            <w:tcW w:w="785"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7.0</w:t>
            </w:r>
          </w:p>
        </w:tc>
        <w:tc>
          <w:tcPr>
            <w:tcW w:w="94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0.34</w:t>
            </w:r>
          </w:p>
        </w:tc>
      </w:tr>
      <w:tr>
        <w:tblPrEx>
          <w:tblCellMar>
            <w:top w:w="0" w:type="dxa"/>
            <w:left w:w="108" w:type="dxa"/>
            <w:bottom w:w="0" w:type="dxa"/>
            <w:right w:w="108" w:type="dxa"/>
          </w:tblCellMar>
        </w:tblPrEx>
        <w:trPr>
          <w:trHeight w:val="165" w:hRule="atLeast"/>
          <w:jc w:val="right"/>
        </w:trPr>
        <w:tc>
          <w:tcPr>
            <w:tcW w:w="544" w:type="pct"/>
            <w:vMerge w:val="continue"/>
            <w:tcBorders>
              <w:top w:val="single" w:color="auto" w:sz="4" w:space="0"/>
              <w:left w:val="single" w:color="auto" w:sz="4" w:space="0"/>
              <w:bottom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936" w:type="pct"/>
            <w:vMerge w:val="continue"/>
            <w:tcBorders>
              <w:left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89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2000≤P＜3300</w:t>
            </w:r>
          </w:p>
        </w:tc>
        <w:tc>
          <w:tcPr>
            <w:tcW w:w="888"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5.0</w:t>
            </w:r>
          </w:p>
        </w:tc>
        <w:tc>
          <w:tcPr>
            <w:tcW w:w="785"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8.7</w:t>
            </w:r>
          </w:p>
        </w:tc>
        <w:tc>
          <w:tcPr>
            <w:tcW w:w="94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0.50</w:t>
            </w:r>
          </w:p>
        </w:tc>
      </w:tr>
      <w:tr>
        <w:tblPrEx>
          <w:tblCellMar>
            <w:top w:w="0" w:type="dxa"/>
            <w:left w:w="108" w:type="dxa"/>
            <w:bottom w:w="0" w:type="dxa"/>
            <w:right w:w="108" w:type="dxa"/>
          </w:tblCellMar>
        </w:tblPrEx>
        <w:trPr>
          <w:trHeight w:val="165" w:hRule="atLeast"/>
          <w:jc w:val="right"/>
        </w:trPr>
        <w:tc>
          <w:tcPr>
            <w:tcW w:w="544" w:type="pct"/>
            <w:vMerge w:val="continue"/>
            <w:tcBorders>
              <w:top w:val="single" w:color="auto" w:sz="4" w:space="0"/>
              <w:left w:val="single" w:color="auto" w:sz="4" w:space="0"/>
              <w:bottom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936" w:type="pct"/>
            <w:vMerge w:val="continue"/>
            <w:tcBorders>
              <w:left w:val="single" w:color="auto" w:sz="4" w:space="0"/>
              <w:bottom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89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P≥3300</w:t>
            </w:r>
          </w:p>
        </w:tc>
        <w:tc>
          <w:tcPr>
            <w:tcW w:w="888"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5.0</w:t>
            </w:r>
          </w:p>
        </w:tc>
        <w:tc>
          <w:tcPr>
            <w:tcW w:w="785"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9.8</w:t>
            </w:r>
          </w:p>
        </w:tc>
        <w:tc>
          <w:tcPr>
            <w:tcW w:w="94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0.50</w:t>
            </w:r>
          </w:p>
        </w:tc>
      </w:tr>
    </w:tbl>
    <w:p>
      <w:pPr>
        <w:autoSpaceDE w:val="0"/>
        <w:autoSpaceDN w:val="0"/>
        <w:adjustRightInd w:val="0"/>
        <w:ind w:firstLine="420"/>
        <w:jc w:val="left"/>
        <w:rPr>
          <w:kern w:val="0"/>
          <w:szCs w:val="21"/>
        </w:rPr>
      </w:pPr>
    </w:p>
    <w:p>
      <w:pPr>
        <w:autoSpaceDE w:val="0"/>
        <w:autoSpaceDN w:val="0"/>
        <w:adjustRightInd w:val="0"/>
        <w:ind w:firstLine="420"/>
        <w:jc w:val="left"/>
        <w:rPr>
          <w:kern w:val="0"/>
          <w:szCs w:val="21"/>
        </w:rPr>
      </w:pPr>
      <w:r>
        <w:rPr>
          <w:kern w:val="0"/>
          <w:szCs w:val="21"/>
        </w:rPr>
        <w:t>7.6.3.2 额定净功率37kW以下的船用柴油机的排放应满足表7.6.3.2的要求。</w:t>
      </w:r>
    </w:p>
    <w:p>
      <w:pPr>
        <w:wordWrap w:val="0"/>
        <w:spacing w:line="320" w:lineRule="atLeast"/>
        <w:ind w:firstLine="420" w:firstLineChars="200"/>
        <w:jc w:val="right"/>
        <w:rPr>
          <w:rFonts w:eastAsia="黑体"/>
          <w:szCs w:val="21"/>
        </w:rPr>
      </w:pPr>
    </w:p>
    <w:p>
      <w:pPr>
        <w:spacing w:line="320" w:lineRule="atLeast"/>
        <w:ind w:firstLine="420" w:firstLineChars="200"/>
        <w:jc w:val="right"/>
        <w:rPr>
          <w:rFonts w:eastAsia="黑体"/>
          <w:szCs w:val="21"/>
        </w:rPr>
      </w:pPr>
      <w:r>
        <w:rPr>
          <w:rFonts w:eastAsia="黑体"/>
          <w:szCs w:val="21"/>
        </w:rPr>
        <w:t>船机排气污染物排放限值（额定功率37kW以下）      表7.6.3.2</w:t>
      </w:r>
    </w:p>
    <w:tbl>
      <w:tblPr>
        <w:tblStyle w:val="16"/>
        <w:tblpPr w:leftFromText="180" w:rightFromText="180" w:vertAnchor="text" w:horzAnchor="margin" w:tblpXSpec="right" w:tblpY="212"/>
        <w:tblW w:w="77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1709"/>
        <w:gridCol w:w="198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122" w:type="dxa"/>
          </w:tcPr>
          <w:p>
            <w:pPr>
              <w:autoSpaceDE w:val="0"/>
              <w:autoSpaceDN w:val="0"/>
              <w:adjustRightInd w:val="0"/>
              <w:jc w:val="center"/>
              <w:rPr>
                <w:kern w:val="0"/>
                <w:szCs w:val="21"/>
              </w:rPr>
            </w:pPr>
            <w:r>
              <w:rPr>
                <w:kern w:val="0"/>
                <w:szCs w:val="21"/>
              </w:rPr>
              <w:t>额定功率 P  (kW)</w:t>
            </w:r>
          </w:p>
        </w:tc>
        <w:tc>
          <w:tcPr>
            <w:tcW w:w="1709" w:type="dxa"/>
          </w:tcPr>
          <w:p>
            <w:pPr>
              <w:autoSpaceDE w:val="0"/>
              <w:autoSpaceDN w:val="0"/>
              <w:adjustRightInd w:val="0"/>
              <w:jc w:val="center"/>
              <w:rPr>
                <w:kern w:val="0"/>
                <w:szCs w:val="21"/>
              </w:rPr>
            </w:pPr>
            <w:r>
              <w:rPr>
                <w:kern w:val="0"/>
                <w:szCs w:val="21"/>
              </w:rPr>
              <w:t>CO (g/kWh)</w:t>
            </w:r>
          </w:p>
        </w:tc>
        <w:tc>
          <w:tcPr>
            <w:tcW w:w="1984" w:type="dxa"/>
          </w:tcPr>
          <w:p>
            <w:pPr>
              <w:autoSpaceDE w:val="0"/>
              <w:autoSpaceDN w:val="0"/>
              <w:adjustRightInd w:val="0"/>
              <w:jc w:val="center"/>
              <w:rPr>
                <w:kern w:val="0"/>
                <w:szCs w:val="21"/>
              </w:rPr>
            </w:pPr>
            <w:r>
              <w:rPr>
                <w:kern w:val="0"/>
                <w:szCs w:val="21"/>
              </w:rPr>
              <w:t>HC+NOx(g/kWh)</w:t>
            </w:r>
          </w:p>
        </w:tc>
        <w:tc>
          <w:tcPr>
            <w:tcW w:w="1984" w:type="dxa"/>
          </w:tcPr>
          <w:p>
            <w:pPr>
              <w:autoSpaceDE w:val="0"/>
              <w:autoSpaceDN w:val="0"/>
              <w:adjustRightInd w:val="0"/>
              <w:jc w:val="center"/>
              <w:rPr>
                <w:kern w:val="0"/>
                <w:szCs w:val="21"/>
              </w:rPr>
            </w:pPr>
            <w:r>
              <w:rPr>
                <w:kern w:val="0"/>
                <w:szCs w:val="21"/>
              </w:rPr>
              <w:t>PM(g/kWh)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122" w:type="dxa"/>
          </w:tcPr>
          <w:p>
            <w:pPr>
              <w:autoSpaceDE w:val="0"/>
              <w:autoSpaceDN w:val="0"/>
              <w:adjustRightInd w:val="0"/>
              <w:jc w:val="center"/>
              <w:rPr>
                <w:kern w:val="0"/>
                <w:szCs w:val="21"/>
              </w:rPr>
            </w:pPr>
            <w:r>
              <w:rPr>
                <w:kern w:val="0"/>
                <w:szCs w:val="21"/>
              </w:rPr>
              <w:t>P＜37</w:t>
            </w:r>
          </w:p>
        </w:tc>
        <w:tc>
          <w:tcPr>
            <w:tcW w:w="1709" w:type="dxa"/>
          </w:tcPr>
          <w:p>
            <w:pPr>
              <w:autoSpaceDE w:val="0"/>
              <w:autoSpaceDN w:val="0"/>
              <w:adjustRightInd w:val="0"/>
              <w:jc w:val="center"/>
              <w:rPr>
                <w:kern w:val="0"/>
                <w:szCs w:val="21"/>
              </w:rPr>
            </w:pPr>
            <w:r>
              <w:rPr>
                <w:kern w:val="0"/>
                <w:szCs w:val="21"/>
              </w:rPr>
              <w:t>5.5</w:t>
            </w:r>
          </w:p>
        </w:tc>
        <w:tc>
          <w:tcPr>
            <w:tcW w:w="1984" w:type="dxa"/>
          </w:tcPr>
          <w:p>
            <w:pPr>
              <w:autoSpaceDE w:val="0"/>
              <w:autoSpaceDN w:val="0"/>
              <w:adjustRightInd w:val="0"/>
              <w:jc w:val="center"/>
              <w:rPr>
                <w:kern w:val="0"/>
                <w:szCs w:val="21"/>
              </w:rPr>
            </w:pPr>
            <w:r>
              <w:rPr>
                <w:kern w:val="0"/>
                <w:szCs w:val="21"/>
              </w:rPr>
              <w:t>7.5</w:t>
            </w:r>
          </w:p>
        </w:tc>
        <w:tc>
          <w:tcPr>
            <w:tcW w:w="1984" w:type="dxa"/>
          </w:tcPr>
          <w:p>
            <w:pPr>
              <w:autoSpaceDE w:val="0"/>
              <w:autoSpaceDN w:val="0"/>
              <w:adjustRightInd w:val="0"/>
              <w:jc w:val="center"/>
              <w:rPr>
                <w:kern w:val="0"/>
                <w:szCs w:val="21"/>
              </w:rPr>
            </w:pPr>
            <w:r>
              <w:rPr>
                <w:kern w:val="0"/>
                <w:szCs w:val="21"/>
              </w:rPr>
              <w:t>0.60</w:t>
            </w:r>
          </w:p>
        </w:tc>
      </w:tr>
    </w:tbl>
    <w:p>
      <w:pPr>
        <w:spacing w:line="320" w:lineRule="atLeast"/>
        <w:ind w:firstLine="422" w:firstLineChars="200"/>
        <w:rPr>
          <w:b/>
          <w:bCs/>
          <w:color w:val="FF0000"/>
          <w:szCs w:val="21"/>
        </w:rPr>
      </w:pPr>
    </w:p>
    <w:p>
      <w:pPr>
        <w:autoSpaceDE w:val="0"/>
        <w:autoSpaceDN w:val="0"/>
        <w:adjustRightInd w:val="0"/>
        <w:ind w:firstLine="420"/>
        <w:jc w:val="left"/>
        <w:rPr>
          <w:kern w:val="0"/>
          <w:szCs w:val="21"/>
        </w:rPr>
      </w:pPr>
      <w:r>
        <w:rPr>
          <w:kern w:val="0"/>
          <w:szCs w:val="21"/>
        </w:rPr>
        <w:t>7.6.3.3  硫氧化物（SOx）</w:t>
      </w:r>
    </w:p>
    <w:p>
      <w:pPr>
        <w:autoSpaceDE w:val="0"/>
        <w:autoSpaceDN w:val="0"/>
        <w:adjustRightInd w:val="0"/>
        <w:ind w:firstLine="420"/>
        <w:jc w:val="left"/>
        <w:rPr>
          <w:kern w:val="0"/>
          <w:szCs w:val="21"/>
        </w:rPr>
      </w:pPr>
      <w:r>
        <w:rPr>
          <w:kern w:val="0"/>
          <w:szCs w:val="21"/>
        </w:rPr>
        <w:t>（1）船上应使用满足船用燃料油国家标准要求的内河船用燃料油。</w:t>
      </w:r>
    </w:p>
    <w:p>
      <w:pPr>
        <w:spacing w:line="320" w:lineRule="atLeast"/>
        <w:ind w:firstLine="420" w:firstLineChars="200"/>
        <w:rPr>
          <w:b/>
          <w:bCs/>
          <w:color w:val="FF0000"/>
          <w:szCs w:val="21"/>
        </w:rPr>
      </w:pPr>
      <w:r>
        <w:rPr>
          <w:kern w:val="0"/>
          <w:szCs w:val="21"/>
        </w:rPr>
        <w:t>（2）船上应备有证明所使用燃料的书面证据供船舶检验人员核查。</w:t>
      </w:r>
    </w:p>
    <w:p>
      <w:pPr>
        <w:spacing w:line="320" w:lineRule="atLeast"/>
        <w:ind w:firstLine="422" w:firstLineChars="200"/>
        <w:rPr>
          <w:b/>
          <w:bCs/>
          <w:color w:val="FF0000"/>
          <w:szCs w:val="21"/>
        </w:rPr>
      </w:pPr>
    </w:p>
    <w:p>
      <w:pPr>
        <w:spacing w:line="320" w:lineRule="atLeast"/>
        <w:ind w:firstLine="422" w:firstLineChars="200"/>
        <w:rPr>
          <w:b/>
          <w:bCs/>
          <w:szCs w:val="21"/>
        </w:rPr>
      </w:pPr>
      <w:r>
        <w:rPr>
          <w:b/>
          <w:bCs/>
          <w:szCs w:val="21"/>
        </w:rPr>
        <w:t>7.6.4  其他</w:t>
      </w:r>
    </w:p>
    <w:p>
      <w:pPr>
        <w:adjustRightInd w:val="0"/>
        <w:snapToGrid w:val="0"/>
        <w:ind w:firstLine="420" w:firstLineChars="200"/>
        <w:rPr>
          <w:color w:val="2E75B6" w:themeColor="accent1" w:themeShade="BF"/>
        </w:rPr>
      </w:pPr>
      <w:r>
        <w:rPr>
          <w:kern w:val="0"/>
          <w:szCs w:val="21"/>
        </w:rPr>
        <w:t>7.6.4.1  航行作业于对环保有特殊要求的水域，还应满足其相应规定。</w:t>
      </w:r>
    </w:p>
    <w:sectPr>
      <w:footnotePr>
        <w:numFmt w:val="decimalEnclosedCircleChinese"/>
      </w:footnotePr>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Gulim">
    <w:panose1 w:val="020B0600000101010101"/>
    <w:charset w:val="81"/>
    <w:family w:val="auto"/>
    <w:pitch w:val="default"/>
    <w:sig w:usb0="B00002AF" w:usb1="69D77CFB" w:usb2="00000030" w:usb3="00000000" w:csb0="4008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11</w:t>
    </w:r>
    <w:r>
      <w:rPr>
        <w:rFonts w:ascii="Times New Roman" w:hAnsi="Times New Roman" w:cs="Times New Roman"/>
      </w:rPr>
      <w:fldChar w:fldCharType="end"/>
    </w:r>
  </w:p>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adjustRightInd w:val="0"/>
        <w:snapToGrid w:val="0"/>
        <w:ind w:firstLine="420" w:firstLineChars="200"/>
      </w:pPr>
      <w:r>
        <w:rPr>
          <w:rStyle w:val="19"/>
        </w:rPr>
        <w:footnoteRef/>
      </w:r>
      <w:r>
        <w:rPr>
          <w:rFonts w:hint="eastAsia"/>
        </w:rPr>
        <w:t>《航区划分规则》发布前，应执行《国内航行海船法定检验技术规则（2020）》总则第12段航区划分与营运限制或《内河</w:t>
      </w:r>
      <w:r>
        <w:t>船舶</w:t>
      </w:r>
      <w:r>
        <w:rPr>
          <w:rFonts w:hint="eastAsia"/>
        </w:rPr>
        <w:t>法定检验技术规则（20</w:t>
      </w:r>
      <w:r>
        <w:t>19</w:t>
      </w:r>
      <w:r>
        <w:rPr>
          <w:rFonts w:hint="eastAsia"/>
        </w:rPr>
        <w:t>）》第2篇</w:t>
      </w:r>
      <w:r>
        <w:t>航区分级</w:t>
      </w:r>
      <w:r>
        <w:rPr>
          <w:rFonts w:hint="eastAsia"/>
        </w:rPr>
        <w:t>的</w:t>
      </w:r>
      <w:r>
        <w:t>规定</w:t>
      </w:r>
      <w:r>
        <w:rPr>
          <w:rFonts w:hint="eastAsia"/>
        </w:rPr>
        <w:t>。</w:t>
      </w:r>
    </w:p>
    <w:p>
      <w:pPr>
        <w:pStyle w:val="13"/>
      </w:pPr>
    </w:p>
  </w:footnote>
  <w:footnote w:id="1">
    <w:p>
      <w:pPr>
        <w:adjustRightInd w:val="0"/>
        <w:snapToGrid w:val="0"/>
        <w:ind w:firstLine="420" w:firstLineChars="200"/>
        <w:rPr>
          <w:szCs w:val="21"/>
        </w:rPr>
      </w:pPr>
      <w:r>
        <w:rPr>
          <w:rStyle w:val="19"/>
        </w:rPr>
        <w:footnoteRef/>
      </w:r>
      <w:r>
        <w:t xml:space="preserve"> </w:t>
      </w:r>
      <w:r>
        <w:rPr>
          <w:rFonts w:hint="eastAsia"/>
        </w:rPr>
        <w:t>《吨位丈量规则》发布前，应执行《国内海洋渔船法定检验技术规则（2019）》第四篇或《国内海洋小型渔船法定检验技术规则（2019）》第</w:t>
      </w:r>
      <w:r>
        <w:t>四章第</w:t>
      </w:r>
      <w:r>
        <w:rPr>
          <w:rFonts w:hint="eastAsia"/>
        </w:rPr>
        <w:t>4节或《内河渔船法定检验技术规则（2019）》第四篇或《内河小型渔船法定检验技术规则（2019）》第</w:t>
      </w:r>
      <w:r>
        <w:t>四章第1</w:t>
      </w:r>
      <w:r>
        <w:rPr>
          <w:rFonts w:hint="eastAsia"/>
        </w:rPr>
        <w:t>节有关</w:t>
      </w:r>
      <w:r>
        <w:t>吨位丈量</w:t>
      </w:r>
      <w:r>
        <w:rPr>
          <w:rFonts w:hint="eastAsia"/>
        </w:rPr>
        <w:t>的规定。</w:t>
      </w:r>
    </w:p>
    <w:p>
      <w:pPr>
        <w:pStyle w:val="13"/>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numFmt w:val="decimalEnclosedCircleChinese"/>
    <w:numRestart w:val="eachPage"/>
    <w:footnote w:id="4"/>
    <w:footnote w:id="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RmYWQwMWJkNGNiMzhiZjZiNThkYzAxMzVjOTgxZjMifQ=="/>
  </w:docVars>
  <w:rsids>
    <w:rsidRoot w:val="00631540"/>
    <w:rsid w:val="0000064B"/>
    <w:rsid w:val="000036BB"/>
    <w:rsid w:val="000203FB"/>
    <w:rsid w:val="000217D1"/>
    <w:rsid w:val="0002309B"/>
    <w:rsid w:val="00024D4C"/>
    <w:rsid w:val="00037D6A"/>
    <w:rsid w:val="00041B2B"/>
    <w:rsid w:val="000461A9"/>
    <w:rsid w:val="00050F48"/>
    <w:rsid w:val="0005494C"/>
    <w:rsid w:val="000632F1"/>
    <w:rsid w:val="000672BB"/>
    <w:rsid w:val="0008167D"/>
    <w:rsid w:val="00085D3A"/>
    <w:rsid w:val="00086D00"/>
    <w:rsid w:val="00087CC8"/>
    <w:rsid w:val="00090325"/>
    <w:rsid w:val="00095290"/>
    <w:rsid w:val="00095F2B"/>
    <w:rsid w:val="000A3D90"/>
    <w:rsid w:val="000A5F98"/>
    <w:rsid w:val="000B3203"/>
    <w:rsid w:val="000B5E9D"/>
    <w:rsid w:val="000C2B18"/>
    <w:rsid w:val="000C74D6"/>
    <w:rsid w:val="000C7948"/>
    <w:rsid w:val="000D22BD"/>
    <w:rsid w:val="000D3D3E"/>
    <w:rsid w:val="000E0E2F"/>
    <w:rsid w:val="000E213F"/>
    <w:rsid w:val="000F3BC6"/>
    <w:rsid w:val="000F541D"/>
    <w:rsid w:val="00107603"/>
    <w:rsid w:val="00111573"/>
    <w:rsid w:val="001126C3"/>
    <w:rsid w:val="00114AAF"/>
    <w:rsid w:val="0011728E"/>
    <w:rsid w:val="0012133A"/>
    <w:rsid w:val="00126B23"/>
    <w:rsid w:val="00136ACE"/>
    <w:rsid w:val="001419C3"/>
    <w:rsid w:val="001427A7"/>
    <w:rsid w:val="001448E2"/>
    <w:rsid w:val="001451D2"/>
    <w:rsid w:val="001456F2"/>
    <w:rsid w:val="00145B63"/>
    <w:rsid w:val="0015080C"/>
    <w:rsid w:val="00150EBD"/>
    <w:rsid w:val="00154722"/>
    <w:rsid w:val="00160CDF"/>
    <w:rsid w:val="0016164B"/>
    <w:rsid w:val="00162FA1"/>
    <w:rsid w:val="0016584C"/>
    <w:rsid w:val="00171247"/>
    <w:rsid w:val="001731CA"/>
    <w:rsid w:val="00176D6D"/>
    <w:rsid w:val="001801D7"/>
    <w:rsid w:val="0019504C"/>
    <w:rsid w:val="00195AA2"/>
    <w:rsid w:val="00196FD9"/>
    <w:rsid w:val="001A177D"/>
    <w:rsid w:val="001A7AF7"/>
    <w:rsid w:val="001A7E98"/>
    <w:rsid w:val="001B374F"/>
    <w:rsid w:val="001B3E98"/>
    <w:rsid w:val="001B58E3"/>
    <w:rsid w:val="001C4621"/>
    <w:rsid w:val="001D2F66"/>
    <w:rsid w:val="001D57FC"/>
    <w:rsid w:val="001E245F"/>
    <w:rsid w:val="001E4A22"/>
    <w:rsid w:val="00202DEF"/>
    <w:rsid w:val="002043CA"/>
    <w:rsid w:val="00210C27"/>
    <w:rsid w:val="00211803"/>
    <w:rsid w:val="00214EA0"/>
    <w:rsid w:val="00215B2E"/>
    <w:rsid w:val="00215EFE"/>
    <w:rsid w:val="00221693"/>
    <w:rsid w:val="00222D41"/>
    <w:rsid w:val="00222DEA"/>
    <w:rsid w:val="00261CED"/>
    <w:rsid w:val="0026259E"/>
    <w:rsid w:val="002632A7"/>
    <w:rsid w:val="00272378"/>
    <w:rsid w:val="00273954"/>
    <w:rsid w:val="0028022B"/>
    <w:rsid w:val="00281D2B"/>
    <w:rsid w:val="00284F95"/>
    <w:rsid w:val="002937F3"/>
    <w:rsid w:val="00294001"/>
    <w:rsid w:val="00294DD9"/>
    <w:rsid w:val="00296248"/>
    <w:rsid w:val="00297E86"/>
    <w:rsid w:val="002A0E32"/>
    <w:rsid w:val="002A1A43"/>
    <w:rsid w:val="002A29ED"/>
    <w:rsid w:val="002A4D99"/>
    <w:rsid w:val="002A5EB1"/>
    <w:rsid w:val="002B61CF"/>
    <w:rsid w:val="002C153D"/>
    <w:rsid w:val="002C46B4"/>
    <w:rsid w:val="002C48C2"/>
    <w:rsid w:val="002C5E37"/>
    <w:rsid w:val="002D5825"/>
    <w:rsid w:val="002F413A"/>
    <w:rsid w:val="002F62AA"/>
    <w:rsid w:val="0030458A"/>
    <w:rsid w:val="00305888"/>
    <w:rsid w:val="003139E8"/>
    <w:rsid w:val="00314D38"/>
    <w:rsid w:val="0031701A"/>
    <w:rsid w:val="00325465"/>
    <w:rsid w:val="00327EAE"/>
    <w:rsid w:val="00331DAD"/>
    <w:rsid w:val="00334BFE"/>
    <w:rsid w:val="00334C02"/>
    <w:rsid w:val="00336C81"/>
    <w:rsid w:val="00337A7C"/>
    <w:rsid w:val="0034213A"/>
    <w:rsid w:val="00343404"/>
    <w:rsid w:val="003460EB"/>
    <w:rsid w:val="00351457"/>
    <w:rsid w:val="00354136"/>
    <w:rsid w:val="003547ED"/>
    <w:rsid w:val="003559D8"/>
    <w:rsid w:val="00356714"/>
    <w:rsid w:val="00357CF5"/>
    <w:rsid w:val="00361C6B"/>
    <w:rsid w:val="00374445"/>
    <w:rsid w:val="00385DB3"/>
    <w:rsid w:val="003902DD"/>
    <w:rsid w:val="003B09DB"/>
    <w:rsid w:val="003B1287"/>
    <w:rsid w:val="003B774D"/>
    <w:rsid w:val="003C423D"/>
    <w:rsid w:val="003C58DF"/>
    <w:rsid w:val="003C6798"/>
    <w:rsid w:val="003C6CFC"/>
    <w:rsid w:val="003D0FB9"/>
    <w:rsid w:val="003D26F1"/>
    <w:rsid w:val="003E02AF"/>
    <w:rsid w:val="003E49D1"/>
    <w:rsid w:val="003F642F"/>
    <w:rsid w:val="00423B69"/>
    <w:rsid w:val="0042570D"/>
    <w:rsid w:val="004268C1"/>
    <w:rsid w:val="004275AD"/>
    <w:rsid w:val="004309B3"/>
    <w:rsid w:val="0043207E"/>
    <w:rsid w:val="004367EA"/>
    <w:rsid w:val="0044320C"/>
    <w:rsid w:val="00444413"/>
    <w:rsid w:val="00446A09"/>
    <w:rsid w:val="00453CF2"/>
    <w:rsid w:val="00456D98"/>
    <w:rsid w:val="004575B3"/>
    <w:rsid w:val="0046011D"/>
    <w:rsid w:val="004654E5"/>
    <w:rsid w:val="0047136D"/>
    <w:rsid w:val="0047412D"/>
    <w:rsid w:val="00476B7C"/>
    <w:rsid w:val="00486655"/>
    <w:rsid w:val="00495D92"/>
    <w:rsid w:val="004970E2"/>
    <w:rsid w:val="0049792A"/>
    <w:rsid w:val="004A1561"/>
    <w:rsid w:val="004A4443"/>
    <w:rsid w:val="004B26E0"/>
    <w:rsid w:val="004B41A1"/>
    <w:rsid w:val="004B6735"/>
    <w:rsid w:val="004C019A"/>
    <w:rsid w:val="004C0A6C"/>
    <w:rsid w:val="004C2936"/>
    <w:rsid w:val="004D3B32"/>
    <w:rsid w:val="004E0E46"/>
    <w:rsid w:val="004E2FEC"/>
    <w:rsid w:val="004E5965"/>
    <w:rsid w:val="004E7D4D"/>
    <w:rsid w:val="004F2260"/>
    <w:rsid w:val="004F39F3"/>
    <w:rsid w:val="004F63C6"/>
    <w:rsid w:val="00503794"/>
    <w:rsid w:val="0051529F"/>
    <w:rsid w:val="00515C67"/>
    <w:rsid w:val="00515FD3"/>
    <w:rsid w:val="00516E6F"/>
    <w:rsid w:val="0052373F"/>
    <w:rsid w:val="005241E6"/>
    <w:rsid w:val="0053192D"/>
    <w:rsid w:val="00532D1C"/>
    <w:rsid w:val="00535180"/>
    <w:rsid w:val="00535708"/>
    <w:rsid w:val="00540825"/>
    <w:rsid w:val="00542045"/>
    <w:rsid w:val="00550815"/>
    <w:rsid w:val="00554840"/>
    <w:rsid w:val="0055648B"/>
    <w:rsid w:val="005573E9"/>
    <w:rsid w:val="00557D80"/>
    <w:rsid w:val="0057027E"/>
    <w:rsid w:val="0059189D"/>
    <w:rsid w:val="005A56A4"/>
    <w:rsid w:val="005A7C26"/>
    <w:rsid w:val="005C6E95"/>
    <w:rsid w:val="005C7B64"/>
    <w:rsid w:val="005D14C7"/>
    <w:rsid w:val="005D458F"/>
    <w:rsid w:val="005D6F00"/>
    <w:rsid w:val="005E11AD"/>
    <w:rsid w:val="005E6DF4"/>
    <w:rsid w:val="005F079A"/>
    <w:rsid w:val="005F0D08"/>
    <w:rsid w:val="005F0E30"/>
    <w:rsid w:val="005F45C9"/>
    <w:rsid w:val="00600571"/>
    <w:rsid w:val="006013ED"/>
    <w:rsid w:val="006033AC"/>
    <w:rsid w:val="00606CD2"/>
    <w:rsid w:val="0061141E"/>
    <w:rsid w:val="00611562"/>
    <w:rsid w:val="00611E4D"/>
    <w:rsid w:val="006149E7"/>
    <w:rsid w:val="0062057C"/>
    <w:rsid w:val="0062315C"/>
    <w:rsid w:val="0062478D"/>
    <w:rsid w:val="00630F1D"/>
    <w:rsid w:val="00631540"/>
    <w:rsid w:val="00632023"/>
    <w:rsid w:val="00633854"/>
    <w:rsid w:val="00633CA0"/>
    <w:rsid w:val="00644945"/>
    <w:rsid w:val="006468A3"/>
    <w:rsid w:val="00647C05"/>
    <w:rsid w:val="00661C27"/>
    <w:rsid w:val="006662E6"/>
    <w:rsid w:val="00670721"/>
    <w:rsid w:val="00670912"/>
    <w:rsid w:val="00671474"/>
    <w:rsid w:val="00671490"/>
    <w:rsid w:val="006769EE"/>
    <w:rsid w:val="00677E88"/>
    <w:rsid w:val="00681EB0"/>
    <w:rsid w:val="006904E6"/>
    <w:rsid w:val="00690924"/>
    <w:rsid w:val="0069404C"/>
    <w:rsid w:val="006A19F0"/>
    <w:rsid w:val="006A4E90"/>
    <w:rsid w:val="006B0FA2"/>
    <w:rsid w:val="006B1D04"/>
    <w:rsid w:val="006B214E"/>
    <w:rsid w:val="006C4A07"/>
    <w:rsid w:val="006C56B2"/>
    <w:rsid w:val="006C79D2"/>
    <w:rsid w:val="006C7DF3"/>
    <w:rsid w:val="006D4DFE"/>
    <w:rsid w:val="006E0752"/>
    <w:rsid w:val="006E2D61"/>
    <w:rsid w:val="006E61BF"/>
    <w:rsid w:val="006F0800"/>
    <w:rsid w:val="006F22E3"/>
    <w:rsid w:val="006F55A3"/>
    <w:rsid w:val="006F6CBA"/>
    <w:rsid w:val="00702AD5"/>
    <w:rsid w:val="007040BC"/>
    <w:rsid w:val="007060C6"/>
    <w:rsid w:val="00713873"/>
    <w:rsid w:val="00713CBA"/>
    <w:rsid w:val="00720267"/>
    <w:rsid w:val="00726DB7"/>
    <w:rsid w:val="00733257"/>
    <w:rsid w:val="00737966"/>
    <w:rsid w:val="00740131"/>
    <w:rsid w:val="0074313C"/>
    <w:rsid w:val="00744471"/>
    <w:rsid w:val="00744A78"/>
    <w:rsid w:val="00751635"/>
    <w:rsid w:val="00762744"/>
    <w:rsid w:val="00765A3B"/>
    <w:rsid w:val="00770E57"/>
    <w:rsid w:val="00771ED3"/>
    <w:rsid w:val="007735B3"/>
    <w:rsid w:val="00773C4A"/>
    <w:rsid w:val="007806C1"/>
    <w:rsid w:val="00781B4F"/>
    <w:rsid w:val="00782B89"/>
    <w:rsid w:val="007838F5"/>
    <w:rsid w:val="00787EF7"/>
    <w:rsid w:val="007A0811"/>
    <w:rsid w:val="007A4F71"/>
    <w:rsid w:val="007A5233"/>
    <w:rsid w:val="007B4900"/>
    <w:rsid w:val="007C2559"/>
    <w:rsid w:val="007C2C38"/>
    <w:rsid w:val="007C6200"/>
    <w:rsid w:val="007C7B72"/>
    <w:rsid w:val="007D13EF"/>
    <w:rsid w:val="007D1B66"/>
    <w:rsid w:val="007D1C0D"/>
    <w:rsid w:val="007E023B"/>
    <w:rsid w:val="007E4CDC"/>
    <w:rsid w:val="007E58EB"/>
    <w:rsid w:val="007F2DF5"/>
    <w:rsid w:val="007F3705"/>
    <w:rsid w:val="00801215"/>
    <w:rsid w:val="00802B31"/>
    <w:rsid w:val="00805E68"/>
    <w:rsid w:val="00806942"/>
    <w:rsid w:val="00812C9E"/>
    <w:rsid w:val="00813744"/>
    <w:rsid w:val="00813EC8"/>
    <w:rsid w:val="00823256"/>
    <w:rsid w:val="008318C3"/>
    <w:rsid w:val="00832D0F"/>
    <w:rsid w:val="00833355"/>
    <w:rsid w:val="00835668"/>
    <w:rsid w:val="00836358"/>
    <w:rsid w:val="00837B87"/>
    <w:rsid w:val="00841506"/>
    <w:rsid w:val="0085145A"/>
    <w:rsid w:val="00852234"/>
    <w:rsid w:val="00854FF0"/>
    <w:rsid w:val="00856079"/>
    <w:rsid w:val="00856694"/>
    <w:rsid w:val="00857A99"/>
    <w:rsid w:val="00861194"/>
    <w:rsid w:val="00863DCB"/>
    <w:rsid w:val="0086548C"/>
    <w:rsid w:val="0087125E"/>
    <w:rsid w:val="008733B7"/>
    <w:rsid w:val="00880203"/>
    <w:rsid w:val="008829D4"/>
    <w:rsid w:val="008879DA"/>
    <w:rsid w:val="00891E6F"/>
    <w:rsid w:val="008922A1"/>
    <w:rsid w:val="00894EB7"/>
    <w:rsid w:val="008A2DC4"/>
    <w:rsid w:val="008A55E1"/>
    <w:rsid w:val="008A7459"/>
    <w:rsid w:val="008B2DE1"/>
    <w:rsid w:val="008C3E2A"/>
    <w:rsid w:val="008C5979"/>
    <w:rsid w:val="008C7165"/>
    <w:rsid w:val="008D4291"/>
    <w:rsid w:val="008D5997"/>
    <w:rsid w:val="008D6BE0"/>
    <w:rsid w:val="008D75F9"/>
    <w:rsid w:val="008E2B71"/>
    <w:rsid w:val="008E4C8D"/>
    <w:rsid w:val="008E4CDB"/>
    <w:rsid w:val="008F1FC4"/>
    <w:rsid w:val="008F3178"/>
    <w:rsid w:val="008F3399"/>
    <w:rsid w:val="008F3FEF"/>
    <w:rsid w:val="0090487B"/>
    <w:rsid w:val="00910B75"/>
    <w:rsid w:val="009134D4"/>
    <w:rsid w:val="009175AA"/>
    <w:rsid w:val="00922401"/>
    <w:rsid w:val="00923082"/>
    <w:rsid w:val="00925000"/>
    <w:rsid w:val="0093701C"/>
    <w:rsid w:val="00937664"/>
    <w:rsid w:val="00940F42"/>
    <w:rsid w:val="009447DA"/>
    <w:rsid w:val="00944A5F"/>
    <w:rsid w:val="009523DE"/>
    <w:rsid w:val="00952A03"/>
    <w:rsid w:val="0095341C"/>
    <w:rsid w:val="00953F0E"/>
    <w:rsid w:val="009561FE"/>
    <w:rsid w:val="00963523"/>
    <w:rsid w:val="009712D7"/>
    <w:rsid w:val="00971405"/>
    <w:rsid w:val="009722E7"/>
    <w:rsid w:val="0098060C"/>
    <w:rsid w:val="009810B8"/>
    <w:rsid w:val="00981E44"/>
    <w:rsid w:val="00985D8F"/>
    <w:rsid w:val="009873DC"/>
    <w:rsid w:val="0099331F"/>
    <w:rsid w:val="00993EEE"/>
    <w:rsid w:val="00994712"/>
    <w:rsid w:val="009A0474"/>
    <w:rsid w:val="009A3A3F"/>
    <w:rsid w:val="009B591E"/>
    <w:rsid w:val="009C0D4A"/>
    <w:rsid w:val="009C6160"/>
    <w:rsid w:val="009C717F"/>
    <w:rsid w:val="009D22A0"/>
    <w:rsid w:val="009D4133"/>
    <w:rsid w:val="009D46A3"/>
    <w:rsid w:val="009E7869"/>
    <w:rsid w:val="009F27BA"/>
    <w:rsid w:val="009F2B65"/>
    <w:rsid w:val="009F31BF"/>
    <w:rsid w:val="009F4B13"/>
    <w:rsid w:val="009F4D28"/>
    <w:rsid w:val="009F79BE"/>
    <w:rsid w:val="00A00863"/>
    <w:rsid w:val="00A010A4"/>
    <w:rsid w:val="00A07CA2"/>
    <w:rsid w:val="00A114C1"/>
    <w:rsid w:val="00A11664"/>
    <w:rsid w:val="00A11914"/>
    <w:rsid w:val="00A13AFB"/>
    <w:rsid w:val="00A14D30"/>
    <w:rsid w:val="00A207EE"/>
    <w:rsid w:val="00A239A6"/>
    <w:rsid w:val="00A248FE"/>
    <w:rsid w:val="00A27C65"/>
    <w:rsid w:val="00A3346B"/>
    <w:rsid w:val="00A35F8B"/>
    <w:rsid w:val="00A36A82"/>
    <w:rsid w:val="00A4151A"/>
    <w:rsid w:val="00A4508C"/>
    <w:rsid w:val="00A4643A"/>
    <w:rsid w:val="00A47971"/>
    <w:rsid w:val="00A47A00"/>
    <w:rsid w:val="00A51CC1"/>
    <w:rsid w:val="00A5213C"/>
    <w:rsid w:val="00A5232D"/>
    <w:rsid w:val="00A545F8"/>
    <w:rsid w:val="00A55460"/>
    <w:rsid w:val="00A559B1"/>
    <w:rsid w:val="00A579E4"/>
    <w:rsid w:val="00A6151C"/>
    <w:rsid w:val="00A62854"/>
    <w:rsid w:val="00A63B09"/>
    <w:rsid w:val="00A6433F"/>
    <w:rsid w:val="00A64F2D"/>
    <w:rsid w:val="00A71618"/>
    <w:rsid w:val="00A80D75"/>
    <w:rsid w:val="00A856F4"/>
    <w:rsid w:val="00A877C2"/>
    <w:rsid w:val="00A96543"/>
    <w:rsid w:val="00AA623F"/>
    <w:rsid w:val="00AA6DF3"/>
    <w:rsid w:val="00AA742D"/>
    <w:rsid w:val="00AB451C"/>
    <w:rsid w:val="00AB7794"/>
    <w:rsid w:val="00AC7162"/>
    <w:rsid w:val="00AD2E26"/>
    <w:rsid w:val="00AD4555"/>
    <w:rsid w:val="00AF2C40"/>
    <w:rsid w:val="00AF5B0D"/>
    <w:rsid w:val="00B00F7F"/>
    <w:rsid w:val="00B045E1"/>
    <w:rsid w:val="00B05C65"/>
    <w:rsid w:val="00B12FAF"/>
    <w:rsid w:val="00B20DC8"/>
    <w:rsid w:val="00B220DE"/>
    <w:rsid w:val="00B2626E"/>
    <w:rsid w:val="00B2666F"/>
    <w:rsid w:val="00B30C40"/>
    <w:rsid w:val="00B3436A"/>
    <w:rsid w:val="00B3497D"/>
    <w:rsid w:val="00B40A7D"/>
    <w:rsid w:val="00B4103B"/>
    <w:rsid w:val="00B46AEE"/>
    <w:rsid w:val="00B472D6"/>
    <w:rsid w:val="00B47939"/>
    <w:rsid w:val="00B5461E"/>
    <w:rsid w:val="00B55152"/>
    <w:rsid w:val="00B736CF"/>
    <w:rsid w:val="00B74D36"/>
    <w:rsid w:val="00B74FB6"/>
    <w:rsid w:val="00B77B4B"/>
    <w:rsid w:val="00B80FC9"/>
    <w:rsid w:val="00B87500"/>
    <w:rsid w:val="00B87B45"/>
    <w:rsid w:val="00B93B45"/>
    <w:rsid w:val="00B94562"/>
    <w:rsid w:val="00B96CB9"/>
    <w:rsid w:val="00BA2ED7"/>
    <w:rsid w:val="00BA5949"/>
    <w:rsid w:val="00BB31F3"/>
    <w:rsid w:val="00BB7952"/>
    <w:rsid w:val="00BB7A8D"/>
    <w:rsid w:val="00BC05AD"/>
    <w:rsid w:val="00BC4706"/>
    <w:rsid w:val="00BC6FF0"/>
    <w:rsid w:val="00BD0B17"/>
    <w:rsid w:val="00BE3721"/>
    <w:rsid w:val="00BE5057"/>
    <w:rsid w:val="00BE7F1E"/>
    <w:rsid w:val="00BF184C"/>
    <w:rsid w:val="00C0624C"/>
    <w:rsid w:val="00C076F1"/>
    <w:rsid w:val="00C14696"/>
    <w:rsid w:val="00C15884"/>
    <w:rsid w:val="00C160E7"/>
    <w:rsid w:val="00C20D6B"/>
    <w:rsid w:val="00C27420"/>
    <w:rsid w:val="00C3071D"/>
    <w:rsid w:val="00C32363"/>
    <w:rsid w:val="00C33834"/>
    <w:rsid w:val="00C35604"/>
    <w:rsid w:val="00C4165A"/>
    <w:rsid w:val="00C43C32"/>
    <w:rsid w:val="00C53526"/>
    <w:rsid w:val="00C660EF"/>
    <w:rsid w:val="00C71F9A"/>
    <w:rsid w:val="00C75DA3"/>
    <w:rsid w:val="00C81E16"/>
    <w:rsid w:val="00C86E4D"/>
    <w:rsid w:val="00C915C1"/>
    <w:rsid w:val="00C97917"/>
    <w:rsid w:val="00CA29D0"/>
    <w:rsid w:val="00CA3B1B"/>
    <w:rsid w:val="00CB2B2C"/>
    <w:rsid w:val="00CB3161"/>
    <w:rsid w:val="00CB4926"/>
    <w:rsid w:val="00CB703B"/>
    <w:rsid w:val="00CB7DBC"/>
    <w:rsid w:val="00CC2C7D"/>
    <w:rsid w:val="00CC3CC9"/>
    <w:rsid w:val="00CC7AA7"/>
    <w:rsid w:val="00CD3F52"/>
    <w:rsid w:val="00CD4EF6"/>
    <w:rsid w:val="00CD56FE"/>
    <w:rsid w:val="00CD7EF6"/>
    <w:rsid w:val="00CE5B32"/>
    <w:rsid w:val="00CF23C5"/>
    <w:rsid w:val="00CF59B4"/>
    <w:rsid w:val="00CF6572"/>
    <w:rsid w:val="00CF6D18"/>
    <w:rsid w:val="00D03D63"/>
    <w:rsid w:val="00D060EE"/>
    <w:rsid w:val="00D122B5"/>
    <w:rsid w:val="00D13E53"/>
    <w:rsid w:val="00D140F4"/>
    <w:rsid w:val="00D15659"/>
    <w:rsid w:val="00D15EE3"/>
    <w:rsid w:val="00D171CC"/>
    <w:rsid w:val="00D272AF"/>
    <w:rsid w:val="00D32BCA"/>
    <w:rsid w:val="00D36A75"/>
    <w:rsid w:val="00D44FEE"/>
    <w:rsid w:val="00D4583B"/>
    <w:rsid w:val="00D511D7"/>
    <w:rsid w:val="00D5292B"/>
    <w:rsid w:val="00D55AB3"/>
    <w:rsid w:val="00D654AD"/>
    <w:rsid w:val="00D6647A"/>
    <w:rsid w:val="00D66DFD"/>
    <w:rsid w:val="00D75075"/>
    <w:rsid w:val="00D77C8A"/>
    <w:rsid w:val="00D82732"/>
    <w:rsid w:val="00D87B16"/>
    <w:rsid w:val="00D92721"/>
    <w:rsid w:val="00D945F5"/>
    <w:rsid w:val="00D95827"/>
    <w:rsid w:val="00D96C23"/>
    <w:rsid w:val="00D96E11"/>
    <w:rsid w:val="00DA0AE7"/>
    <w:rsid w:val="00DA32E4"/>
    <w:rsid w:val="00DA5B73"/>
    <w:rsid w:val="00DA6A7E"/>
    <w:rsid w:val="00DA7609"/>
    <w:rsid w:val="00DB1028"/>
    <w:rsid w:val="00DB5870"/>
    <w:rsid w:val="00DC19BE"/>
    <w:rsid w:val="00DD37ED"/>
    <w:rsid w:val="00DE29E7"/>
    <w:rsid w:val="00DF33A3"/>
    <w:rsid w:val="00DF5193"/>
    <w:rsid w:val="00DF6D52"/>
    <w:rsid w:val="00E04411"/>
    <w:rsid w:val="00E05397"/>
    <w:rsid w:val="00E07AC2"/>
    <w:rsid w:val="00E07B9D"/>
    <w:rsid w:val="00E160B5"/>
    <w:rsid w:val="00E16E8B"/>
    <w:rsid w:val="00E2292B"/>
    <w:rsid w:val="00E23B83"/>
    <w:rsid w:val="00E32E8A"/>
    <w:rsid w:val="00E33967"/>
    <w:rsid w:val="00E40A5C"/>
    <w:rsid w:val="00E42052"/>
    <w:rsid w:val="00E611A9"/>
    <w:rsid w:val="00E61E23"/>
    <w:rsid w:val="00E66EAE"/>
    <w:rsid w:val="00E67163"/>
    <w:rsid w:val="00E67E92"/>
    <w:rsid w:val="00E7184D"/>
    <w:rsid w:val="00E722A2"/>
    <w:rsid w:val="00E819A3"/>
    <w:rsid w:val="00E82623"/>
    <w:rsid w:val="00E94886"/>
    <w:rsid w:val="00E95314"/>
    <w:rsid w:val="00EA02C9"/>
    <w:rsid w:val="00EA5307"/>
    <w:rsid w:val="00EB1A3D"/>
    <w:rsid w:val="00EB3D5D"/>
    <w:rsid w:val="00EC5439"/>
    <w:rsid w:val="00EC70B1"/>
    <w:rsid w:val="00ED090A"/>
    <w:rsid w:val="00ED0AA0"/>
    <w:rsid w:val="00ED3FE6"/>
    <w:rsid w:val="00ED5CA8"/>
    <w:rsid w:val="00ED61DF"/>
    <w:rsid w:val="00EE1B43"/>
    <w:rsid w:val="00EE2562"/>
    <w:rsid w:val="00EE407C"/>
    <w:rsid w:val="00EE6935"/>
    <w:rsid w:val="00EE7833"/>
    <w:rsid w:val="00EE7DEF"/>
    <w:rsid w:val="00EF5E38"/>
    <w:rsid w:val="00F0358A"/>
    <w:rsid w:val="00F1359F"/>
    <w:rsid w:val="00F1459F"/>
    <w:rsid w:val="00F17DE2"/>
    <w:rsid w:val="00F30006"/>
    <w:rsid w:val="00F31330"/>
    <w:rsid w:val="00F42D30"/>
    <w:rsid w:val="00F434E5"/>
    <w:rsid w:val="00F50034"/>
    <w:rsid w:val="00F51917"/>
    <w:rsid w:val="00F54207"/>
    <w:rsid w:val="00F56F73"/>
    <w:rsid w:val="00F57FE5"/>
    <w:rsid w:val="00F657ED"/>
    <w:rsid w:val="00F7012B"/>
    <w:rsid w:val="00F710A5"/>
    <w:rsid w:val="00F716FF"/>
    <w:rsid w:val="00F71DB2"/>
    <w:rsid w:val="00F73D7E"/>
    <w:rsid w:val="00F76A42"/>
    <w:rsid w:val="00F81861"/>
    <w:rsid w:val="00F86D65"/>
    <w:rsid w:val="00F9236E"/>
    <w:rsid w:val="00F94305"/>
    <w:rsid w:val="00FA208D"/>
    <w:rsid w:val="00FA61D9"/>
    <w:rsid w:val="00FA6A23"/>
    <w:rsid w:val="00FB3C66"/>
    <w:rsid w:val="00FC139D"/>
    <w:rsid w:val="00FC3039"/>
    <w:rsid w:val="00FC5345"/>
    <w:rsid w:val="00FD260A"/>
    <w:rsid w:val="00FD3B58"/>
    <w:rsid w:val="00FD5AC9"/>
    <w:rsid w:val="00FF4132"/>
    <w:rsid w:val="00FF73B7"/>
    <w:rsid w:val="2E396370"/>
    <w:rsid w:val="422049E4"/>
    <w:rsid w:val="539E19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6"/>
    <w:qFormat/>
    <w:uiPriority w:val="0"/>
    <w:pPr>
      <w:keepNext/>
      <w:keepLines/>
      <w:adjustRightInd w:val="0"/>
      <w:snapToGrid w:val="0"/>
      <w:spacing w:line="360" w:lineRule="auto"/>
      <w:jc w:val="center"/>
      <w:outlineLvl w:val="0"/>
    </w:pPr>
    <w:rPr>
      <w:rFonts w:eastAsia="黑体"/>
      <w:bCs/>
      <w:kern w:val="44"/>
      <w:sz w:val="32"/>
      <w:szCs w:val="32"/>
    </w:rPr>
  </w:style>
  <w:style w:type="paragraph" w:styleId="3">
    <w:name w:val="heading 2"/>
    <w:basedOn w:val="1"/>
    <w:next w:val="1"/>
    <w:link w:val="29"/>
    <w:unhideWhenUsed/>
    <w:qFormat/>
    <w:uiPriority w:val="0"/>
    <w:pPr>
      <w:keepNext/>
      <w:keepLines/>
      <w:spacing w:before="260" w:after="260" w:line="416" w:lineRule="auto"/>
      <w:jc w:val="center"/>
      <w:outlineLvl w:val="1"/>
    </w:pPr>
    <w:rPr>
      <w:rFonts w:eastAsia="黑体" w:cstheme="majorBidi"/>
      <w:bCs/>
      <w:sz w:val="32"/>
      <w:szCs w:val="32"/>
    </w:rPr>
  </w:style>
  <w:style w:type="paragraph" w:styleId="4">
    <w:name w:val="heading 3"/>
    <w:basedOn w:val="1"/>
    <w:next w:val="1"/>
    <w:link w:val="31"/>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5"/>
    <w:semiHidden/>
    <w:unhideWhenUsed/>
    <w:qFormat/>
    <w:uiPriority w:val="99"/>
    <w:rPr>
      <w:rFonts w:ascii="Microsoft YaHei UI" w:eastAsia="Microsoft YaHei UI"/>
      <w:sz w:val="18"/>
      <w:szCs w:val="18"/>
    </w:rPr>
  </w:style>
  <w:style w:type="paragraph" w:styleId="6">
    <w:name w:val="annotation text"/>
    <w:basedOn w:val="1"/>
    <w:link w:val="39"/>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Date"/>
    <w:basedOn w:val="1"/>
    <w:next w:val="1"/>
    <w:link w:val="27"/>
    <w:qFormat/>
    <w:uiPriority w:val="0"/>
    <w:rPr>
      <w:rFonts w:eastAsia="楷体_GB2312" w:asciiTheme="minorHAnsi" w:hAnsiTheme="minorHAnsi" w:cstheme="minorBidi"/>
      <w:b/>
      <w:sz w:val="30"/>
      <w:szCs w:val="22"/>
    </w:rPr>
  </w:style>
  <w:style w:type="paragraph" w:styleId="9">
    <w:name w:val="Balloon Text"/>
    <w:basedOn w:val="1"/>
    <w:link w:val="30"/>
    <w:semiHidden/>
    <w:unhideWhenUsed/>
    <w:qFormat/>
    <w:uiPriority w:val="99"/>
    <w:rPr>
      <w:sz w:val="18"/>
      <w:szCs w:val="18"/>
    </w:rPr>
  </w:style>
  <w:style w:type="paragraph" w:styleId="10">
    <w:name w:val="footer"/>
    <w:basedOn w:val="1"/>
    <w:link w:val="20"/>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11">
    <w:name w:val="header"/>
    <w:basedOn w:val="1"/>
    <w:link w:val="21"/>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22"/>
    </w:rPr>
  </w:style>
  <w:style w:type="paragraph" w:styleId="12">
    <w:name w:val="toc 1"/>
    <w:basedOn w:val="1"/>
    <w:next w:val="1"/>
    <w:unhideWhenUsed/>
    <w:qFormat/>
    <w:uiPriority w:val="39"/>
  </w:style>
  <w:style w:type="paragraph" w:styleId="13">
    <w:name w:val="footnote text"/>
    <w:basedOn w:val="1"/>
    <w:link w:val="46"/>
    <w:semiHidden/>
    <w:unhideWhenUsed/>
    <w:uiPriority w:val="99"/>
    <w:pPr>
      <w:snapToGrid w:val="0"/>
      <w:jc w:val="left"/>
    </w:pPr>
    <w:rPr>
      <w:sz w:val="18"/>
      <w:szCs w:val="18"/>
    </w:rPr>
  </w:style>
  <w:style w:type="paragraph" w:styleId="14">
    <w:name w:val="toc 2"/>
    <w:basedOn w:val="1"/>
    <w:next w:val="1"/>
    <w:unhideWhenUsed/>
    <w:qFormat/>
    <w:uiPriority w:val="39"/>
    <w:pPr>
      <w:ind w:left="420" w:leftChars="200"/>
    </w:p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character" w:styleId="19">
    <w:name w:val="footnote reference"/>
    <w:basedOn w:val="17"/>
    <w:semiHidden/>
    <w:unhideWhenUsed/>
    <w:uiPriority w:val="99"/>
    <w:rPr>
      <w:vertAlign w:val="superscript"/>
    </w:rPr>
  </w:style>
  <w:style w:type="character" w:customStyle="1" w:styleId="20">
    <w:name w:val="页脚 字符1"/>
    <w:link w:val="10"/>
    <w:qFormat/>
    <w:uiPriority w:val="0"/>
    <w:rPr>
      <w:sz w:val="18"/>
      <w:szCs w:val="18"/>
    </w:rPr>
  </w:style>
  <w:style w:type="character" w:customStyle="1" w:styleId="21">
    <w:name w:val="页眉 字符1"/>
    <w:link w:val="11"/>
    <w:qFormat/>
    <w:uiPriority w:val="0"/>
    <w:rPr>
      <w:sz w:val="18"/>
    </w:rPr>
  </w:style>
  <w:style w:type="character" w:customStyle="1" w:styleId="22">
    <w:name w:val="页脚 字符"/>
    <w:basedOn w:val="17"/>
    <w:semiHidden/>
    <w:qFormat/>
    <w:uiPriority w:val="99"/>
    <w:rPr>
      <w:rFonts w:ascii="Times New Roman" w:hAnsi="Times New Roman" w:eastAsia="宋体" w:cs="Times New Roman"/>
      <w:sz w:val="18"/>
      <w:szCs w:val="18"/>
    </w:rPr>
  </w:style>
  <w:style w:type="character" w:customStyle="1" w:styleId="23">
    <w:name w:val="页眉 字符"/>
    <w:basedOn w:val="17"/>
    <w:semiHidden/>
    <w:qFormat/>
    <w:uiPriority w:val="99"/>
    <w:rPr>
      <w:rFonts w:ascii="Times New Roman" w:hAnsi="Times New Roman" w:eastAsia="宋体" w:cs="Times New Roman"/>
      <w:sz w:val="18"/>
      <w:szCs w:val="18"/>
    </w:rPr>
  </w:style>
  <w:style w:type="paragraph" w:styleId="24">
    <w:name w:val="List Paragraph"/>
    <w:basedOn w:val="1"/>
    <w:qFormat/>
    <w:uiPriority w:val="34"/>
    <w:pPr>
      <w:ind w:firstLine="420" w:firstLineChars="200"/>
    </w:pPr>
  </w:style>
  <w:style w:type="character" w:customStyle="1" w:styleId="25">
    <w:name w:val="标题 1 字符"/>
    <w:basedOn w:val="17"/>
    <w:qFormat/>
    <w:uiPriority w:val="0"/>
    <w:rPr>
      <w:rFonts w:ascii="Times New Roman" w:hAnsi="Times New Roman" w:eastAsia="宋体" w:cs="Times New Roman"/>
      <w:b/>
      <w:bCs/>
      <w:kern w:val="44"/>
      <w:sz w:val="44"/>
      <w:szCs w:val="44"/>
    </w:rPr>
  </w:style>
  <w:style w:type="character" w:customStyle="1" w:styleId="26">
    <w:name w:val="标题 1 字符1"/>
    <w:link w:val="2"/>
    <w:qFormat/>
    <w:uiPriority w:val="0"/>
    <w:rPr>
      <w:rFonts w:ascii="Times New Roman" w:hAnsi="Times New Roman" w:eastAsia="黑体" w:cs="Times New Roman"/>
      <w:bCs/>
      <w:kern w:val="44"/>
      <w:sz w:val="32"/>
      <w:szCs w:val="32"/>
    </w:rPr>
  </w:style>
  <w:style w:type="character" w:customStyle="1" w:styleId="27">
    <w:name w:val="日期 字符1"/>
    <w:link w:val="8"/>
    <w:qFormat/>
    <w:uiPriority w:val="0"/>
    <w:rPr>
      <w:rFonts w:eastAsia="楷体_GB2312"/>
      <w:b/>
      <w:sz w:val="30"/>
    </w:rPr>
  </w:style>
  <w:style w:type="character" w:customStyle="1" w:styleId="28">
    <w:name w:val="日期 字符"/>
    <w:basedOn w:val="17"/>
    <w:semiHidden/>
    <w:qFormat/>
    <w:uiPriority w:val="99"/>
    <w:rPr>
      <w:rFonts w:ascii="Times New Roman" w:hAnsi="Times New Roman" w:eastAsia="宋体" w:cs="Times New Roman"/>
      <w:szCs w:val="20"/>
    </w:rPr>
  </w:style>
  <w:style w:type="character" w:customStyle="1" w:styleId="29">
    <w:name w:val="标题 2 字符"/>
    <w:basedOn w:val="17"/>
    <w:link w:val="3"/>
    <w:qFormat/>
    <w:uiPriority w:val="0"/>
    <w:rPr>
      <w:rFonts w:ascii="Times New Roman" w:hAnsi="Times New Roman" w:eastAsia="黑体" w:cstheme="majorBidi"/>
      <w:bCs/>
      <w:sz w:val="32"/>
      <w:szCs w:val="32"/>
    </w:rPr>
  </w:style>
  <w:style w:type="character" w:customStyle="1" w:styleId="30">
    <w:name w:val="批注框文本 字符"/>
    <w:basedOn w:val="17"/>
    <w:link w:val="9"/>
    <w:semiHidden/>
    <w:qFormat/>
    <w:uiPriority w:val="99"/>
    <w:rPr>
      <w:rFonts w:ascii="Times New Roman" w:hAnsi="Times New Roman" w:eastAsia="宋体" w:cs="Times New Roman"/>
      <w:sz w:val="18"/>
      <w:szCs w:val="18"/>
    </w:rPr>
  </w:style>
  <w:style w:type="character" w:customStyle="1" w:styleId="31">
    <w:name w:val="标题 3 字符"/>
    <w:basedOn w:val="17"/>
    <w:link w:val="4"/>
    <w:qFormat/>
    <w:uiPriority w:val="9"/>
    <w:rPr>
      <w:rFonts w:ascii="Times New Roman" w:hAnsi="Times New Roman" w:eastAsia="宋体" w:cs="Times New Roman"/>
      <w:b/>
      <w:bCs/>
      <w:sz w:val="32"/>
      <w:szCs w:val="32"/>
    </w:rPr>
  </w:style>
  <w:style w:type="paragraph" w:customStyle="1" w:styleId="32">
    <w:name w:val="TOC 标题1"/>
    <w:basedOn w:val="2"/>
    <w:next w:val="1"/>
    <w:unhideWhenUsed/>
    <w:qFormat/>
    <w:uiPriority w:val="39"/>
    <w:pPr>
      <w:widowControl/>
      <w:adjustRightInd/>
      <w:snapToGrid/>
      <w:spacing w:before="240" w:line="259" w:lineRule="auto"/>
      <w:jc w:val="left"/>
      <w:outlineLvl w:val="9"/>
    </w:pPr>
    <w:rPr>
      <w:rFonts w:asciiTheme="majorHAnsi" w:hAnsiTheme="majorHAnsi" w:eastAsiaTheme="majorEastAsia" w:cstheme="majorBidi"/>
      <w:bCs w:val="0"/>
      <w:color w:val="2E75B6" w:themeColor="accent1" w:themeShade="BF"/>
      <w:kern w:val="0"/>
    </w:rPr>
  </w:style>
  <w:style w:type="paragraph" w:customStyle="1" w:styleId="33">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paragraph" w:customStyle="1" w:styleId="34">
    <w:name w:val="Char Char Char Char"/>
    <w:basedOn w:val="5"/>
    <w:uiPriority w:val="0"/>
    <w:pPr>
      <w:shd w:val="clear" w:color="auto" w:fill="000080"/>
    </w:pPr>
    <w:rPr>
      <w:rFonts w:ascii="Tahoma" w:hAnsi="Tahoma" w:eastAsia="宋体" w:cs="宋体"/>
      <w:sz w:val="28"/>
      <w:szCs w:val="28"/>
    </w:rPr>
  </w:style>
  <w:style w:type="character" w:customStyle="1" w:styleId="35">
    <w:name w:val="文档结构图 字符"/>
    <w:basedOn w:val="17"/>
    <w:link w:val="5"/>
    <w:semiHidden/>
    <w:uiPriority w:val="99"/>
    <w:rPr>
      <w:rFonts w:ascii="Microsoft YaHei UI" w:hAnsi="Times New Roman" w:eastAsia="Microsoft YaHei UI" w:cs="Times New Roman"/>
      <w:sz w:val="18"/>
      <w:szCs w:val="18"/>
    </w:rPr>
  </w:style>
  <w:style w:type="character" w:customStyle="1" w:styleId="36">
    <w:name w:val="段 Char"/>
    <w:basedOn w:val="17"/>
    <w:link w:val="37"/>
    <w:uiPriority w:val="0"/>
    <w:rPr>
      <w:rFonts w:ascii="宋体" w:hAnsi="Tahoma" w:cs="宋体"/>
      <w:szCs w:val="28"/>
    </w:rPr>
  </w:style>
  <w:style w:type="paragraph" w:customStyle="1" w:styleId="37">
    <w:name w:val="段"/>
    <w:link w:val="36"/>
    <w:qFormat/>
    <w:uiPriority w:val="0"/>
    <w:pPr>
      <w:tabs>
        <w:tab w:val="center" w:pos="4201"/>
        <w:tab w:val="right" w:leader="dot" w:pos="9298"/>
      </w:tabs>
      <w:autoSpaceDE w:val="0"/>
      <w:autoSpaceDN w:val="0"/>
      <w:ind w:firstLine="420" w:firstLineChars="200"/>
      <w:jc w:val="both"/>
    </w:pPr>
    <w:rPr>
      <w:rFonts w:ascii="宋体" w:hAnsi="Tahoma" w:cs="宋体" w:eastAsiaTheme="minorEastAsia"/>
      <w:kern w:val="2"/>
      <w:sz w:val="21"/>
      <w:szCs w:val="28"/>
      <w:lang w:val="en-US" w:eastAsia="zh-CN" w:bidi="ar-SA"/>
    </w:rPr>
  </w:style>
  <w:style w:type="paragraph" w:customStyle="1" w:styleId="38">
    <w:name w:val="Char Char Char Char1"/>
    <w:basedOn w:val="5"/>
    <w:qFormat/>
    <w:uiPriority w:val="0"/>
    <w:pPr>
      <w:shd w:val="clear" w:color="auto" w:fill="000080"/>
    </w:pPr>
    <w:rPr>
      <w:rFonts w:ascii="Tahoma" w:hAnsi="Tahoma" w:eastAsia="宋体" w:cs="宋体"/>
      <w:sz w:val="28"/>
      <w:szCs w:val="28"/>
    </w:rPr>
  </w:style>
  <w:style w:type="character" w:customStyle="1" w:styleId="39">
    <w:name w:val="批注文字 字符"/>
    <w:basedOn w:val="17"/>
    <w:link w:val="6"/>
    <w:qFormat/>
    <w:uiPriority w:val="99"/>
    <w:rPr>
      <w:rFonts w:ascii="Times New Roman" w:hAnsi="Times New Roman" w:eastAsia="宋体" w:cs="Times New Roman"/>
      <w:szCs w:val="20"/>
    </w:rPr>
  </w:style>
  <w:style w:type="character" w:styleId="40">
    <w:name w:val="Placeholder Text"/>
    <w:basedOn w:val="17"/>
    <w:semiHidden/>
    <w:uiPriority w:val="99"/>
    <w:rPr>
      <w:color w:val="808080"/>
    </w:rPr>
  </w:style>
  <w:style w:type="paragraph" w:customStyle="1" w:styleId="41">
    <w:name w:val="节格式"/>
    <w:basedOn w:val="3"/>
    <w:qFormat/>
    <w:uiPriority w:val="0"/>
    <w:rPr>
      <w:rFonts w:ascii="楷体" w:hAnsi="楷体" w:eastAsia="楷体"/>
      <w:bCs w:val="0"/>
      <w:color w:val="000000"/>
      <w:sz w:val="28"/>
      <w:szCs w:val="28"/>
    </w:rPr>
  </w:style>
  <w:style w:type="character" w:customStyle="1" w:styleId="42">
    <w:name w:val="标题 2 Char"/>
    <w:uiPriority w:val="0"/>
    <w:rPr>
      <w:rFonts w:ascii="Arial" w:hAnsi="Arial" w:eastAsia="黑体"/>
      <w:b/>
      <w:bCs/>
      <w:kern w:val="2"/>
      <w:sz w:val="32"/>
      <w:szCs w:val="32"/>
    </w:rPr>
  </w:style>
  <w:style w:type="character" w:customStyle="1" w:styleId="43">
    <w:name w:val="章标题 Char"/>
    <w:link w:val="44"/>
    <w:uiPriority w:val="0"/>
    <w:rPr>
      <w:rFonts w:ascii="黑体" w:hAnsi="黑体" w:eastAsia="黑体"/>
      <w:b/>
      <w:kern w:val="2"/>
      <w:sz w:val="32"/>
      <w:szCs w:val="32"/>
    </w:rPr>
  </w:style>
  <w:style w:type="paragraph" w:customStyle="1" w:styleId="44">
    <w:name w:val="章标题"/>
    <w:basedOn w:val="2"/>
    <w:link w:val="43"/>
    <w:uiPriority w:val="0"/>
    <w:pPr>
      <w:adjustRightInd/>
      <w:snapToGrid/>
      <w:spacing w:before="340" w:after="330" w:line="576" w:lineRule="auto"/>
    </w:pPr>
    <w:rPr>
      <w:rFonts w:ascii="黑体" w:hAnsi="黑体" w:cstheme="minorBidi"/>
      <w:b/>
      <w:bCs w:val="0"/>
      <w:kern w:val="2"/>
    </w:rPr>
  </w:style>
  <w:style w:type="paragraph" w:customStyle="1" w:styleId="45">
    <w:name w:val="正文文本缩进1"/>
    <w:basedOn w:val="1"/>
    <w:uiPriority w:val="0"/>
    <w:pPr>
      <w:ind w:firstLine="560" w:firstLineChars="200"/>
    </w:pPr>
    <w:rPr>
      <w:rFonts w:ascii="仿宋_GB2312" w:eastAsia="仿宋_GB2312"/>
      <w:sz w:val="28"/>
      <w:szCs w:val="28"/>
      <w:shd w:val="pct10" w:color="auto" w:fill="FFFFFF"/>
    </w:rPr>
  </w:style>
  <w:style w:type="character" w:customStyle="1" w:styleId="46">
    <w:name w:val="脚注文本 字符"/>
    <w:basedOn w:val="17"/>
    <w:link w:val="13"/>
    <w:semiHidden/>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21.wmf"/><Relationship Id="rId4" Type="http://schemas.openxmlformats.org/officeDocument/2006/relationships/header" Target="header1.xml"/><Relationship Id="rId39" Type="http://schemas.openxmlformats.org/officeDocument/2006/relationships/oleObject" Target="embeddings/oleObject12.bin"/><Relationship Id="rId38" Type="http://schemas.openxmlformats.org/officeDocument/2006/relationships/oleObject" Target="embeddings/oleObject11.bin"/><Relationship Id="rId37" Type="http://schemas.openxmlformats.org/officeDocument/2006/relationships/image" Target="media/image20.wmf"/><Relationship Id="rId36" Type="http://schemas.openxmlformats.org/officeDocument/2006/relationships/oleObject" Target="embeddings/oleObject10.bin"/><Relationship Id="rId35" Type="http://schemas.openxmlformats.org/officeDocument/2006/relationships/image" Target="media/image19.wmf"/><Relationship Id="rId34" Type="http://schemas.openxmlformats.org/officeDocument/2006/relationships/oleObject" Target="embeddings/oleObject9.bin"/><Relationship Id="rId33" Type="http://schemas.openxmlformats.org/officeDocument/2006/relationships/image" Target="media/image18.wmf"/><Relationship Id="rId32" Type="http://schemas.openxmlformats.org/officeDocument/2006/relationships/oleObject" Target="embeddings/oleObject8.bin"/><Relationship Id="rId31" Type="http://schemas.openxmlformats.org/officeDocument/2006/relationships/image" Target="media/image17.wmf"/><Relationship Id="rId30" Type="http://schemas.openxmlformats.org/officeDocument/2006/relationships/oleObject" Target="embeddings/oleObject7.bin"/><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jpeg"/><Relationship Id="rId26" Type="http://schemas.openxmlformats.org/officeDocument/2006/relationships/image" Target="media/image13.wmf"/><Relationship Id="rId25" Type="http://schemas.openxmlformats.org/officeDocument/2006/relationships/oleObject" Target="embeddings/oleObject6.bin"/><Relationship Id="rId24" Type="http://schemas.openxmlformats.org/officeDocument/2006/relationships/image" Target="media/image12.wmf"/><Relationship Id="rId23" Type="http://schemas.openxmlformats.org/officeDocument/2006/relationships/oleObject" Target="embeddings/oleObject5.bin"/><Relationship Id="rId22" Type="http://schemas.openxmlformats.org/officeDocument/2006/relationships/image" Target="media/image11.wmf"/><Relationship Id="rId21" Type="http://schemas.openxmlformats.org/officeDocument/2006/relationships/oleObject" Target="embeddings/oleObject4.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wmf"/><Relationship Id="rId13" Type="http://schemas.openxmlformats.org/officeDocument/2006/relationships/image" Target="media/image5.wmf"/><Relationship Id="rId12" Type="http://schemas.openxmlformats.org/officeDocument/2006/relationships/oleObject" Target="embeddings/oleObject1.bin"/><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EB2E0-505E-494D-8536-8FF3AAACBED1}">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37</Pages>
  <Words>24551</Words>
  <Characters>28678</Characters>
  <Lines>244</Lines>
  <Paragraphs>68</Paragraphs>
  <TotalTime>64</TotalTime>
  <ScaleCrop>false</ScaleCrop>
  <LinksUpToDate>false</LinksUpToDate>
  <CharactersWithSpaces>30317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2021-04-23T00:17:00Z</dcterms:created>
  <dc:creator>Administrator</dc:creator>
  <cp:lastModifiedBy>晓颖</cp:lastModifiedBy>
  <cp:lastPrinted>2021-03-23T07:49:00Z</cp:lastPrinted>
  <dcterms:modified xsi:type="dcterms:W3CDTF">2024-05-28T08:55:24Z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33339985BA804A4B91ADD4220D5CDE97</vt:lpwstr>
  </property>
</Properties>
</file>