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center"/>
        <w:textAlignment w:val="auto"/>
        <w:outlineLvl w:val="9"/>
        <w:rPr>
          <w:rFonts w:hint="eastAsia" w:ascii="方正小标宋简体" w:hAnsi="仿宋" w:eastAsia="方正小标宋简体"/>
          <w:snapToGrid/>
          <w:color w:val="000000"/>
          <w:spacing w:val="0"/>
          <w:sz w:val="44"/>
          <w:szCs w:val="44"/>
          <w:lang w:eastAsia="zh-CN"/>
        </w:rPr>
      </w:pPr>
      <w:bookmarkStart w:id="5" w:name="_GoBack"/>
      <w:bookmarkStart w:id="0" w:name="BKsubject"/>
      <w:r>
        <w:rPr>
          <w:rFonts w:hint="eastAsia" w:ascii="方正小标宋简体" w:hAnsi="方正小标宋简体" w:eastAsia="方正小标宋简体"/>
          <w:b w:val="0"/>
          <w:bCs w:val="0"/>
          <w:snapToGrid/>
          <w:color w:val="000000"/>
          <w:spacing w:val="0"/>
          <w:sz w:val="44"/>
          <w:szCs w:val="44"/>
          <w:lang w:eastAsia="zh-CN"/>
        </w:rPr>
        <w:t>交通运输部海事局关于征求《2020年全球限硫令实施方案（征求意见稿）》修改意见的通知</w:t>
      </w:r>
      <w:bookmarkEnd w:id="0"/>
      <w:bookmarkEnd w:id="5"/>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仿宋_GB2312" w:hAnsi="仿宋_GB2312" w:eastAsia="仿宋_GB2312"/>
          <w:snapToGrid/>
          <w:spacing w:val="0"/>
        </w:rPr>
      </w:pP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right="0" w:rightChars="0" w:firstLine="0" w:firstLineChars="0"/>
        <w:textAlignment w:val="auto"/>
        <w:rPr>
          <w:rFonts w:hint="eastAsia" w:ascii="仿宋_GB2312" w:hAnsi="仿宋_GB2312" w:eastAsia="仿宋_GB2312"/>
          <w:snapToGrid/>
          <w:color w:val="000000"/>
          <w:spacing w:val="0"/>
          <w:sz w:val="16"/>
          <w:szCs w:val="16"/>
        </w:rPr>
      </w:pPr>
      <w:bookmarkStart w:id="1" w:name="BKzhusong"/>
      <w:r>
        <w:rPr>
          <w:rFonts w:hint="eastAsia" w:ascii="仿宋_GB2312" w:hAnsi="仿宋_GB2312"/>
          <w:snapToGrid/>
          <w:spacing w:val="0"/>
          <w:lang w:eastAsia="zh-CN"/>
        </w:rPr>
        <w:t>各有关单位</w:t>
      </w:r>
      <w:bookmarkEnd w:id="1"/>
      <w:r>
        <w:rPr>
          <w:rFonts w:hint="eastAsia" w:ascii="仿宋_GB2312" w:hAnsi="仿宋_GB2312" w:eastAsia="仿宋_GB2312"/>
          <w:snapToGrid/>
          <w:spacing w:val="0"/>
        </w:rPr>
        <w:t>：</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632" w:firstLineChars="200"/>
        <w:jc w:val="both"/>
        <w:textAlignment w:val="auto"/>
        <w:outlineLvl w:val="9"/>
        <w:rPr>
          <w:rFonts w:hint="default" w:ascii="Times New Roman" w:hAnsi="Times New Roman" w:eastAsia="仿宋_GB2312" w:cs="Times New Roman"/>
          <w:color w:val="000000"/>
          <w:sz w:val="32"/>
          <w:szCs w:val="32"/>
        </w:rPr>
      </w:pPr>
      <w:bookmarkStart w:id="2" w:name="BKbody"/>
      <w:bookmarkEnd w:id="2"/>
      <w:r>
        <w:rPr>
          <w:rFonts w:hint="default" w:ascii="Times New Roman" w:hAnsi="Times New Roman" w:eastAsia="仿宋_GB2312" w:cs="Times New Roman"/>
          <w:color w:val="000000"/>
          <w:sz w:val="32"/>
          <w:szCs w:val="32"/>
        </w:rPr>
        <w:t>国际海事组织海上环境保护委员会第70届会议决定自2020年1月1日起在全球范围内实施船用燃油硫含量不超过0.5</w:t>
      </w:r>
      <w:r>
        <w:rPr>
          <w:rFonts w:hint="eastAsia" w:ascii="Times New Roman" w:hAnsi="Times New Roman" w:cs="Times New Roman"/>
          <w:color w:val="000000"/>
          <w:sz w:val="32"/>
          <w:szCs w:val="32"/>
          <w:lang w:val="en-US" w:eastAsia="zh-CN"/>
        </w:rPr>
        <w:t>0</w:t>
      </w:r>
      <w:r>
        <w:rPr>
          <w:rFonts w:hint="default" w:ascii="Times New Roman" w:hAnsi="Times New Roman" w:eastAsia="仿宋_GB2312" w:cs="Times New Roman"/>
          <w:color w:val="000000"/>
          <w:sz w:val="32"/>
          <w:szCs w:val="32"/>
        </w:rPr>
        <w:t>% m/m的规定（以下简称“全球限硫令”）</w:t>
      </w:r>
      <w:r>
        <w:rPr>
          <w:rFonts w:hint="default" w:ascii="Times New Roman" w:hAnsi="Times New Roman" w:eastAsia="仿宋_GB2312" w:cs="Times New Roman"/>
          <w:color w:val="000000"/>
          <w:sz w:val="32"/>
          <w:szCs w:val="32"/>
          <w:lang w:eastAsia="zh-CN"/>
        </w:rPr>
        <w:t>。根据国际海事组织出台的</w:t>
      </w:r>
      <w:r>
        <w:rPr>
          <w:rFonts w:hint="default" w:ascii="Times New Roman" w:hAnsi="Times New Roman" w:eastAsia="仿宋_GB2312" w:cs="Times New Roman"/>
          <w:color w:val="000000"/>
          <w:sz w:val="32"/>
          <w:szCs w:val="32"/>
        </w:rPr>
        <w:t>《国际防止船舶造成污染公约》</w:t>
      </w:r>
      <w:r>
        <w:rPr>
          <w:rFonts w:hint="default" w:ascii="Times New Roman" w:hAnsi="Times New Roman" w:eastAsia="仿宋_GB2312" w:cs="Times New Roman"/>
          <w:color w:val="000000"/>
          <w:sz w:val="32"/>
          <w:szCs w:val="32"/>
          <w:lang w:eastAsia="zh-CN"/>
        </w:rPr>
        <w:t>相关</w:t>
      </w:r>
      <w:r>
        <w:rPr>
          <w:rFonts w:hint="default" w:ascii="Times New Roman" w:hAnsi="Times New Roman" w:eastAsia="仿宋_GB2312" w:cs="Times New Roman"/>
          <w:color w:val="000000"/>
          <w:sz w:val="32"/>
          <w:szCs w:val="32"/>
        </w:rPr>
        <w:t>修正案、导则和通函</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为有效实施全球</w:t>
      </w:r>
      <w:r>
        <w:rPr>
          <w:rFonts w:hint="default" w:ascii="Times New Roman" w:hAnsi="Times New Roman" w:eastAsia="仿宋_GB2312" w:cs="Times New Roman"/>
          <w:color w:val="000000"/>
          <w:sz w:val="32"/>
          <w:szCs w:val="32"/>
          <w:lang w:eastAsia="zh-CN"/>
        </w:rPr>
        <w:t>限硫令</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我局组织起草了</w:t>
      </w:r>
      <w:r>
        <w:rPr>
          <w:rFonts w:hint="default" w:ascii="Times New Roman" w:hAnsi="Times New Roman" w:eastAsia="仿宋_GB2312" w:cs="Times New Roman"/>
          <w:color w:val="000000"/>
          <w:sz w:val="32"/>
          <w:szCs w:val="32"/>
        </w:rPr>
        <w:t>《2020年全球船用燃油限硫令实施方案</w:t>
      </w:r>
      <w:r>
        <w:rPr>
          <w:rFonts w:hint="default" w:ascii="Times New Roman" w:hAnsi="Times New Roman" w:eastAsia="仿宋_GB2312" w:cs="Times New Roman"/>
          <w:color w:val="000000"/>
          <w:sz w:val="32"/>
          <w:szCs w:val="32"/>
          <w:lang w:eastAsia="zh-CN"/>
        </w:rPr>
        <w:t>（征求意见稿）</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现征求你单位（个人）的意见，请</w:t>
      </w:r>
      <w:r>
        <w:rPr>
          <w:rFonts w:hint="default" w:ascii="Times New Roman" w:hAnsi="Times New Roman" w:eastAsia="仿宋_GB2312" w:cs="Times New Roman"/>
          <w:color w:val="000000"/>
          <w:sz w:val="32"/>
          <w:szCs w:val="32"/>
          <w:lang w:val="en-US" w:eastAsia="zh-CN"/>
        </w:rPr>
        <w:t>将书面意见和建议</w:t>
      </w:r>
      <w:r>
        <w:rPr>
          <w:rFonts w:hint="default" w:ascii="Times New Roman" w:hAnsi="Times New Roman" w:eastAsia="仿宋_GB2312" w:cs="Times New Roman"/>
          <w:color w:val="000000"/>
          <w:sz w:val="32"/>
          <w:szCs w:val="32"/>
          <w:lang w:eastAsia="zh-CN"/>
        </w:rPr>
        <w:t>于</w:t>
      </w:r>
      <w:r>
        <w:rPr>
          <w:rFonts w:hint="default" w:ascii="Times New Roman" w:hAnsi="Times New Roman" w:eastAsia="仿宋_GB2312" w:cs="Times New Roman"/>
          <w:color w:val="000000"/>
          <w:sz w:val="32"/>
          <w:szCs w:val="32"/>
          <w:lang w:val="en-US" w:eastAsia="zh-CN"/>
        </w:rPr>
        <w:t>2019年8月22日前反馈我局</w:t>
      </w:r>
      <w:r>
        <w:rPr>
          <w:rFonts w:hint="eastAsia" w:ascii="Times New Roman" w:hAnsi="Times New Roman" w:cs="Times New Roman"/>
          <w:color w:val="000000"/>
          <w:sz w:val="32"/>
          <w:szCs w:val="32"/>
          <w:lang w:val="en-US" w:eastAsia="zh-CN"/>
        </w:rPr>
        <w:t>（可编辑电子版一并反馈）</w:t>
      </w:r>
      <w:r>
        <w:rPr>
          <w:rFonts w:hint="default" w:ascii="Times New Roman" w:hAnsi="Times New Roman" w:eastAsia="仿宋_GB2312" w:cs="Times New Roman"/>
          <w:color w:val="000000"/>
          <w:sz w:val="32"/>
          <w:szCs w:val="32"/>
        </w:rPr>
        <w:t>。</w:t>
      </w:r>
      <w:bookmarkStart w:id="3" w:name="_Toc505195411"/>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cs="Times New Roman"/>
          <w:color w:val="000000"/>
          <w:sz w:val="32"/>
          <w:szCs w:val="32"/>
          <w:lang w:val="en-US" w:eastAsia="zh-CN"/>
        </w:rPr>
      </w:pPr>
      <w:r>
        <w:rPr>
          <w:rFonts w:hint="default" w:ascii="Times New Roman" w:hAnsi="Times New Roman" w:eastAsia="仿宋_GB2312" w:cs="Times New Roman"/>
          <w:color w:val="000000"/>
          <w:sz w:val="32"/>
          <w:szCs w:val="32"/>
          <w:lang w:eastAsia="zh-CN"/>
        </w:rPr>
        <w:t>联系人：郑旭然；电话：</w:t>
      </w:r>
      <w:r>
        <w:rPr>
          <w:rFonts w:hint="default" w:ascii="Times New Roman" w:hAnsi="Times New Roman" w:eastAsia="仿宋_GB2312" w:cs="Times New Roman"/>
          <w:color w:val="000000"/>
          <w:sz w:val="32"/>
          <w:szCs w:val="32"/>
          <w:lang w:val="en-US" w:eastAsia="zh-CN"/>
        </w:rPr>
        <w:t>010-65292582；传真：010-65293424</w:t>
      </w:r>
      <w:r>
        <w:rPr>
          <w:rFonts w:hint="eastAsia" w:ascii="Times New Roman" w:hAnsi="Times New Roman" w:cs="Times New Roman"/>
          <w:color w:val="000000"/>
          <w:sz w:val="32"/>
          <w:szCs w:val="32"/>
          <w:lang w:val="en-US" w:eastAsia="zh-CN"/>
        </w:rPr>
        <w:t>；邮箱：</w:t>
      </w:r>
      <w:r>
        <w:rPr>
          <w:rFonts w:hint="eastAsia" w:ascii="Times New Roman" w:hAnsi="Times New Roman" w:cs="Times New Roman"/>
          <w:color w:val="000000"/>
          <w:sz w:val="32"/>
          <w:szCs w:val="32"/>
          <w:lang w:val="en-US" w:eastAsia="zh-CN"/>
        </w:rPr>
        <w:fldChar w:fldCharType="begin"/>
      </w:r>
      <w:r>
        <w:rPr>
          <w:rFonts w:hint="eastAsia" w:ascii="Times New Roman" w:hAnsi="Times New Roman" w:cs="Times New Roman"/>
          <w:color w:val="000000"/>
          <w:sz w:val="32"/>
          <w:szCs w:val="32"/>
          <w:lang w:val="en-US" w:eastAsia="zh-CN"/>
        </w:rPr>
        <w:instrText xml:space="preserve"> HYPERLINK "mailto:18713502728@163.com。" </w:instrText>
      </w:r>
      <w:r>
        <w:rPr>
          <w:rFonts w:hint="eastAsia" w:ascii="Times New Roman" w:hAnsi="Times New Roman" w:cs="Times New Roman"/>
          <w:color w:val="000000"/>
          <w:sz w:val="32"/>
          <w:szCs w:val="32"/>
          <w:lang w:val="en-US" w:eastAsia="zh-CN"/>
        </w:rPr>
        <w:fldChar w:fldCharType="separate"/>
      </w:r>
      <w:r>
        <w:rPr>
          <w:rStyle w:val="6"/>
          <w:rFonts w:hint="eastAsia" w:ascii="Times New Roman" w:hAnsi="Times New Roman" w:cs="Times New Roman"/>
          <w:sz w:val="32"/>
          <w:szCs w:val="32"/>
          <w:lang w:val="en-US" w:eastAsia="zh-CN"/>
        </w:rPr>
        <w:t>18713502728@163.com</w:t>
      </w:r>
      <w:r>
        <w:rPr>
          <w:rStyle w:val="6"/>
          <w:rFonts w:hint="default" w:ascii="Times New Roman" w:hAnsi="Times New Roman" w:eastAsia="仿宋_GB2312" w:cs="Times New Roman"/>
          <w:sz w:val="32"/>
          <w:szCs w:val="32"/>
          <w:lang w:val="en-US" w:eastAsia="zh-CN"/>
        </w:rPr>
        <w:t>。</w:t>
      </w:r>
      <w:r>
        <w:rPr>
          <w:rFonts w:hint="eastAsia" w:ascii="Times New Roman" w:hAnsi="Times New Roman" w:cs="Times New Roman"/>
          <w:color w:val="000000"/>
          <w:sz w:val="32"/>
          <w:szCs w:val="32"/>
          <w:lang w:val="en-US" w:eastAsia="zh-CN"/>
        </w:rPr>
        <w:fldChar w:fldCharType="end"/>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632" w:firstLineChars="200"/>
        <w:jc w:val="both"/>
        <w:textAlignment w:val="auto"/>
        <w:outlineLvl w:val="9"/>
        <w:rPr>
          <w:rFonts w:hint="default" w:ascii="Times New Roman" w:hAnsi="Times New Roman" w:cs="Times New Roman"/>
          <w:color w:val="000000"/>
          <w:sz w:val="32"/>
          <w:szCs w:val="32"/>
          <w:lang w:val="en-US" w:eastAsia="zh-CN"/>
        </w:rPr>
      </w:pP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仿宋_GB2312" w:cs="Times New Roman"/>
          <w:color w:val="000000"/>
          <w:sz w:val="32"/>
          <w:szCs w:val="32"/>
          <w:lang w:eastAsia="zh-CN"/>
        </w:rPr>
      </w:pPr>
      <w:r>
        <w:rPr>
          <w:rFonts w:hint="eastAsia" w:ascii="Times New Roman" w:hAnsi="Times New Roman" w:cs="Times New Roman"/>
          <w:color w:val="000000"/>
          <w:sz w:val="32"/>
          <w:szCs w:val="32"/>
          <w:lang w:val="en-US" w:eastAsia="zh-CN"/>
        </w:rPr>
        <w:t xml:space="preserve">                          </w:t>
      </w:r>
      <w:r>
        <w:rPr>
          <w:rFonts w:hint="eastAsia" w:ascii="Times New Roman" w:hAnsi="Times New Roman" w:cs="Times New Roman"/>
          <w:color w:val="000000"/>
          <w:sz w:val="32"/>
          <w:szCs w:val="32"/>
          <w:lang w:eastAsia="zh-CN"/>
        </w:rPr>
        <w:t>交通运输部海事局</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仿宋" w:hAnsi="仿宋" w:eastAsia="仿宋"/>
          <w:color w:val="000000"/>
          <w:sz w:val="30"/>
          <w:szCs w:val="30"/>
        </w:rPr>
      </w:pPr>
      <w:r>
        <w:rPr>
          <w:rFonts w:hint="default" w:ascii="Times New Roman" w:hAnsi="Times New Roman" w:eastAsia="仿宋_GB2312" w:cs="Times New Roman"/>
          <w:color w:val="000000"/>
          <w:sz w:val="32"/>
          <w:szCs w:val="32"/>
        </w:rPr>
        <w:t xml:space="preserve">                          2019年7月</w:t>
      </w:r>
      <w:r>
        <w:rPr>
          <w:rFonts w:hint="default" w:ascii="Times New Roman" w:hAnsi="Times New Roman" w:eastAsia="仿宋_GB2312" w:cs="Times New Roman"/>
          <w:color w:val="000000"/>
          <w:sz w:val="32"/>
          <w:szCs w:val="32"/>
          <w:lang w:val="en-US" w:eastAsia="zh-CN"/>
        </w:rPr>
        <w:t>22</w:t>
      </w:r>
      <w:r>
        <w:rPr>
          <w:rFonts w:hint="default" w:ascii="Times New Roman" w:hAnsi="Times New Roman" w:eastAsia="仿宋_GB2312" w:cs="Times New Roman"/>
          <w:color w:val="000000"/>
          <w:sz w:val="32"/>
          <w:szCs w:val="32"/>
        </w:rPr>
        <w:t>日</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592" w:firstLineChars="200"/>
        <w:jc w:val="both"/>
        <w:textAlignment w:val="auto"/>
        <w:outlineLvl w:val="9"/>
        <w:rPr>
          <w:rFonts w:hint="eastAsia" w:ascii="仿宋" w:hAnsi="仿宋" w:eastAsia="仿宋"/>
          <w:color w:val="000000"/>
          <w:sz w:val="30"/>
          <w:szCs w:val="30"/>
        </w:rPr>
        <w:sectPr>
          <w:footerReference r:id="rId3" w:type="default"/>
          <w:footerReference r:id="rId4" w:type="even"/>
          <w:pgSz w:w="11906" w:h="16838"/>
          <w:pgMar w:top="2041" w:right="1531" w:bottom="2041" w:left="1531" w:header="851" w:footer="1616" w:gutter="0"/>
          <w:pgNumType w:fmt="decimal"/>
          <w:cols w:space="720" w:num="1"/>
          <w:docGrid w:type="linesAndChars" w:linePitch="579" w:charSpace="-849"/>
        </w:sectPr>
      </w:pPr>
    </w:p>
    <w:bookmarkEnd w:id="3"/>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方正小标宋简体" w:hAnsi="方正小标宋简体" w:eastAsia="方正小标宋简体" w:cs="黑体"/>
          <w:b w:val="0"/>
          <w:bCs w:val="0"/>
          <w:sz w:val="44"/>
          <w:szCs w:val="36"/>
        </w:rPr>
      </w:pP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方正小标宋简体" w:hAnsi="方正小标宋简体" w:eastAsia="方正小标宋简体" w:cs="黑体"/>
          <w:b w:val="0"/>
          <w:bCs w:val="0"/>
          <w:sz w:val="44"/>
          <w:szCs w:val="36"/>
        </w:rPr>
      </w:pP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hint="eastAsia" w:ascii="楷体" w:hAnsi="楷体" w:eastAsia="楷体"/>
          <w:color w:val="000000"/>
          <w:sz w:val="32"/>
          <w:szCs w:val="36"/>
        </w:rPr>
      </w:pPr>
      <w:r>
        <w:rPr>
          <w:rFonts w:hint="eastAsia" w:ascii="方正小标宋简体" w:hAnsi="方正小标宋简体" w:eastAsia="方正小标宋简体" w:cs="黑体"/>
          <w:b w:val="0"/>
          <w:bCs w:val="0"/>
          <w:sz w:val="44"/>
          <w:szCs w:val="36"/>
        </w:rPr>
        <w:t>2020年全球</w:t>
      </w:r>
      <w:r>
        <w:rPr>
          <w:rFonts w:hint="eastAsia" w:ascii="方正小标宋简体" w:hAnsi="方正小标宋简体" w:eastAsia="方正小标宋简体" w:cs="黑体"/>
          <w:b w:val="0"/>
          <w:bCs w:val="0"/>
          <w:color w:val="000000"/>
          <w:sz w:val="44"/>
          <w:szCs w:val="36"/>
        </w:rPr>
        <w:t>船用燃油限</w:t>
      </w:r>
      <w:r>
        <w:rPr>
          <w:rFonts w:hint="eastAsia" w:ascii="方正小标宋简体" w:hAnsi="方正小标宋简体" w:eastAsia="方正小标宋简体" w:cs="黑体"/>
          <w:b w:val="0"/>
          <w:bCs w:val="0"/>
          <w:sz w:val="44"/>
          <w:szCs w:val="36"/>
        </w:rPr>
        <w:t>硫令实施方案</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632" w:firstLineChars="200"/>
        <w:jc w:val="both"/>
        <w:textAlignment w:val="auto"/>
        <w:outlineLvl w:val="9"/>
        <w:rPr>
          <w:rFonts w:eastAsia="仿宋_GB2312"/>
          <w:sz w:val="32"/>
        </w:rPr>
      </w:pPr>
      <w:r>
        <w:rPr>
          <w:rFonts w:hint="eastAsia" w:eastAsia="仿宋_GB2312"/>
          <w:sz w:val="32"/>
        </w:rPr>
        <w:t>为有效实施国际海事组织2020年1月1日起全球船用燃油限硫规定（以下简称</w:t>
      </w:r>
      <w:r>
        <w:rPr>
          <w:rFonts w:hint="eastAsia" w:eastAsia="仿宋_GB2312"/>
          <w:sz w:val="32"/>
          <w:lang w:eastAsia="zh-CN"/>
        </w:rPr>
        <w:t>“</w:t>
      </w:r>
      <w:r>
        <w:rPr>
          <w:rFonts w:hint="eastAsia" w:eastAsia="仿宋_GB2312"/>
          <w:sz w:val="32"/>
        </w:rPr>
        <w:t>全球限硫令</w:t>
      </w:r>
      <w:r>
        <w:rPr>
          <w:rFonts w:hint="eastAsia" w:eastAsia="仿宋_GB2312"/>
          <w:sz w:val="32"/>
          <w:lang w:eastAsia="zh-CN"/>
        </w:rPr>
        <w:t>”</w:t>
      </w:r>
      <w:r>
        <w:rPr>
          <w:rFonts w:hint="eastAsia" w:eastAsia="仿宋_GB2312"/>
          <w:sz w:val="32"/>
        </w:rPr>
        <w:t>），根据《中华人民共和国大气污染防治法》《防治船舶污染海洋环境管理条例》等有关法律法规和我国缔结的《国际防止船舶造成污染公约》以及《船舶大气污染物排放控制区实施方案》（交海发</w:t>
      </w:r>
      <w:r>
        <w:rPr>
          <w:rFonts w:hint="eastAsia" w:ascii="仿宋_GB2312" w:hAnsi="仿宋_GB2312" w:eastAsia="仿宋_GB2312"/>
          <w:sz w:val="32"/>
        </w:rPr>
        <w:t>〔</w:t>
      </w:r>
      <w:r>
        <w:rPr>
          <w:rFonts w:hint="eastAsia" w:eastAsia="仿宋_GB2312"/>
          <w:sz w:val="32"/>
        </w:rPr>
        <w:t>2018</w:t>
      </w:r>
      <w:r>
        <w:rPr>
          <w:rFonts w:hint="eastAsia" w:ascii="仿宋_GB2312" w:hAnsi="仿宋_GB2312" w:eastAsia="仿宋_GB2312"/>
          <w:sz w:val="32"/>
        </w:rPr>
        <w:t>〕</w:t>
      </w:r>
      <w:r>
        <w:rPr>
          <w:rFonts w:hint="eastAsia" w:eastAsia="仿宋_GB2312"/>
          <w:sz w:val="32"/>
        </w:rPr>
        <w:t>168号）的要求</w:t>
      </w:r>
      <w:r>
        <w:rPr>
          <w:rFonts w:eastAsia="仿宋_GB2312"/>
          <w:sz w:val="32"/>
        </w:rPr>
        <w:t>，制定本实施方案。</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632" w:firstLineChars="200"/>
        <w:jc w:val="both"/>
        <w:textAlignment w:val="auto"/>
        <w:outlineLvl w:val="9"/>
        <w:rPr>
          <w:rFonts w:hint="eastAsia" w:eastAsia="黑体"/>
          <w:sz w:val="32"/>
          <w:szCs w:val="32"/>
        </w:rPr>
      </w:pPr>
      <w:r>
        <w:rPr>
          <w:rFonts w:eastAsia="黑体"/>
          <w:sz w:val="32"/>
          <w:szCs w:val="32"/>
        </w:rPr>
        <w:t>一、</w:t>
      </w:r>
      <w:r>
        <w:rPr>
          <w:rFonts w:hint="eastAsia" w:eastAsia="黑体"/>
          <w:sz w:val="32"/>
          <w:szCs w:val="32"/>
        </w:rPr>
        <w:t>总体要求</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632" w:firstLineChars="200"/>
        <w:jc w:val="both"/>
        <w:textAlignment w:val="auto"/>
        <w:outlineLvl w:val="9"/>
        <w:rPr>
          <w:rFonts w:hint="eastAsia" w:eastAsia="仿宋_GB2312"/>
          <w:sz w:val="32"/>
        </w:rPr>
      </w:pPr>
      <w:r>
        <w:rPr>
          <w:rFonts w:hint="eastAsia" w:eastAsia="仿宋_GB2312"/>
          <w:sz w:val="32"/>
        </w:rPr>
        <w:t>贯彻落实党中央、国务院关于加快推进生态文明建设、打好污染防治攻坚战和打赢蓝天保卫战的部署，履行我国缔结的国际公约义务，</w:t>
      </w:r>
      <w:r>
        <w:rPr>
          <w:rFonts w:hint="eastAsia" w:eastAsia="仿宋_GB2312"/>
          <w:sz w:val="32"/>
          <w:lang w:eastAsia="zh-CN"/>
        </w:rPr>
        <w:t>充分考虑我国航运发展实际，坚持环保标准不降低、国际国内协同推进，保障全球限硫令在我国有效</w:t>
      </w:r>
      <w:r>
        <w:rPr>
          <w:rFonts w:hint="eastAsia" w:eastAsia="仿宋_GB2312"/>
          <w:sz w:val="32"/>
        </w:rPr>
        <w:t>实施</w:t>
      </w:r>
      <w:r>
        <w:rPr>
          <w:rFonts w:hint="eastAsia" w:eastAsia="仿宋_GB2312"/>
          <w:sz w:val="32"/>
          <w:lang w:eastAsia="zh-CN"/>
        </w:rPr>
        <w:t>，</w:t>
      </w:r>
      <w:r>
        <w:rPr>
          <w:rFonts w:hint="eastAsia" w:eastAsia="仿宋_GB2312"/>
          <w:sz w:val="32"/>
        </w:rPr>
        <w:t>减少船舶大气污染物排放，促进绿色航运发展，服务国家重大战略。</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仿宋" w:hAnsi="仿宋" w:eastAsia="仿宋"/>
          <w:b/>
          <w:sz w:val="32"/>
          <w:szCs w:val="32"/>
        </w:rPr>
      </w:pPr>
      <w:r>
        <w:rPr>
          <w:rFonts w:hint="eastAsia" w:eastAsia="黑体"/>
          <w:sz w:val="32"/>
          <w:szCs w:val="32"/>
        </w:rPr>
        <w:t>二</w:t>
      </w:r>
      <w:r>
        <w:rPr>
          <w:rFonts w:eastAsia="黑体"/>
          <w:sz w:val="32"/>
          <w:szCs w:val="32"/>
        </w:rPr>
        <w:t>、</w:t>
      </w:r>
      <w:r>
        <w:rPr>
          <w:rFonts w:hint="eastAsia" w:eastAsia="黑体"/>
          <w:sz w:val="32"/>
          <w:szCs w:val="32"/>
        </w:rPr>
        <w:t>具体</w:t>
      </w:r>
      <w:r>
        <w:rPr>
          <w:rFonts w:eastAsia="黑体"/>
          <w:sz w:val="32"/>
          <w:szCs w:val="32"/>
        </w:rPr>
        <w:t>要求</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楷体" w:hAnsi="楷体" w:eastAsia="楷体"/>
          <w:b w:val="0"/>
          <w:bCs/>
          <w:sz w:val="32"/>
          <w:szCs w:val="32"/>
        </w:rPr>
      </w:pPr>
      <w:r>
        <w:rPr>
          <w:rFonts w:hint="eastAsia" w:ascii="楷体" w:hAnsi="楷体" w:eastAsia="楷体"/>
          <w:b w:val="0"/>
          <w:bCs/>
          <w:sz w:val="32"/>
          <w:szCs w:val="32"/>
        </w:rPr>
        <w:t>（一）船舶使用</w:t>
      </w:r>
      <w:r>
        <w:rPr>
          <w:rFonts w:hint="eastAsia" w:ascii="楷体" w:hAnsi="楷体" w:eastAsia="楷体"/>
          <w:b w:val="0"/>
          <w:bCs/>
          <w:sz w:val="32"/>
          <w:szCs w:val="32"/>
          <w:lang w:eastAsia="zh-CN"/>
        </w:rPr>
        <w:t>、装载</w:t>
      </w:r>
      <w:r>
        <w:rPr>
          <w:rFonts w:hint="eastAsia" w:ascii="楷体" w:hAnsi="楷体" w:eastAsia="楷体"/>
          <w:b w:val="0"/>
          <w:bCs/>
          <w:sz w:val="32"/>
          <w:szCs w:val="32"/>
        </w:rPr>
        <w:t>燃油</w:t>
      </w:r>
      <w:r>
        <w:rPr>
          <w:rFonts w:hint="eastAsia" w:ascii="楷体" w:hAnsi="楷体" w:eastAsia="楷体"/>
          <w:b w:val="0"/>
          <w:bCs/>
          <w:sz w:val="32"/>
          <w:szCs w:val="32"/>
          <w:lang w:eastAsia="zh-CN"/>
        </w:rPr>
        <w:t>和替代措施</w:t>
      </w:r>
      <w:r>
        <w:rPr>
          <w:rFonts w:hint="eastAsia" w:ascii="楷体" w:hAnsi="楷体" w:eastAsia="楷体"/>
          <w:b w:val="0"/>
          <w:bCs/>
          <w:sz w:val="32"/>
          <w:szCs w:val="32"/>
        </w:rPr>
        <w:t>要求</w:t>
      </w:r>
      <w:r>
        <w:rPr>
          <w:rFonts w:hint="eastAsia" w:ascii="楷体" w:hAnsi="楷体" w:eastAsia="楷体"/>
          <w:b w:val="0"/>
          <w:bCs/>
          <w:sz w:val="32"/>
          <w:szCs w:val="32"/>
          <w:lang w:eastAsia="zh-CN"/>
        </w:rPr>
        <w:t>。</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632"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自2020年1月1日起，国际航行船舶进入中华人民共和国管辖水域应当使用硫含量不超过0.5</w:t>
      </w:r>
      <w:r>
        <w:rPr>
          <w:rFonts w:hint="eastAsia" w:ascii="Times New Roman" w:hAnsi="Times New Roman" w:cs="Times New Roman"/>
          <w:kern w:val="0"/>
          <w:sz w:val="32"/>
          <w:szCs w:val="32"/>
          <w:lang w:val="en-US" w:eastAsia="zh-CN"/>
        </w:rPr>
        <w:t>0</w:t>
      </w:r>
      <w:r>
        <w:rPr>
          <w:rFonts w:hint="default" w:ascii="Times New Roman" w:hAnsi="Times New Roman" w:eastAsia="仿宋_GB2312" w:cs="Times New Roman"/>
          <w:kern w:val="0"/>
          <w:sz w:val="32"/>
          <w:szCs w:val="32"/>
        </w:rPr>
        <w:t>% m/m的燃油（以下简称</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合规燃油</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）。本方案中的</w:t>
      </w:r>
      <w:r>
        <w:rPr>
          <w:rFonts w:hint="default" w:ascii="Times New Roman" w:hAnsi="Times New Roman" w:eastAsia="仿宋_GB2312" w:cs="Times New Roman"/>
          <w:bCs/>
          <w:sz w:val="32"/>
          <w:szCs w:val="32"/>
        </w:rPr>
        <w:t>“燃油”，系指为了船舶推进或操作而交付船上的用于燃烧的油类，包括馏分型燃油和残渣型燃油。</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632"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自2020年1月1日起，国际航行船舶进入我国内河船舶大气污染物排放控制区的，应当使用硫含量不超过0.1</w:t>
      </w:r>
      <w:r>
        <w:rPr>
          <w:rFonts w:hint="eastAsia" w:ascii="Times New Roman" w:hAnsi="Times New Roman" w:cs="Times New Roman"/>
          <w:kern w:val="0"/>
          <w:sz w:val="32"/>
          <w:szCs w:val="32"/>
          <w:lang w:val="en-US" w:eastAsia="zh-CN"/>
        </w:rPr>
        <w:t>0</w:t>
      </w:r>
      <w:r>
        <w:rPr>
          <w:rFonts w:hint="default" w:ascii="Times New Roman" w:hAnsi="Times New Roman" w:eastAsia="仿宋_GB2312" w:cs="Times New Roman"/>
          <w:kern w:val="0"/>
          <w:sz w:val="32"/>
          <w:szCs w:val="32"/>
        </w:rPr>
        <w:t>% m/m的燃油；自2022年1月1日起，国际航行船舶进入我国船舶大气污染物排放控制区海南水域的，应当使用硫含量不超过0.1</w:t>
      </w:r>
      <w:r>
        <w:rPr>
          <w:rFonts w:hint="eastAsia" w:ascii="Times New Roman" w:hAnsi="Times New Roman" w:cs="Times New Roman"/>
          <w:kern w:val="0"/>
          <w:sz w:val="32"/>
          <w:szCs w:val="32"/>
          <w:lang w:val="en-US" w:eastAsia="zh-CN"/>
        </w:rPr>
        <w:t>0</w:t>
      </w:r>
      <w:r>
        <w:rPr>
          <w:rFonts w:hint="default" w:ascii="Times New Roman" w:hAnsi="Times New Roman" w:eastAsia="仿宋_GB2312" w:cs="Times New Roman"/>
          <w:kern w:val="0"/>
          <w:sz w:val="32"/>
          <w:szCs w:val="32"/>
        </w:rPr>
        <w:t>% m/m的燃油。</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632"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自2020年3月1日起，国际航行船舶进入中华人民共和国管辖水域，不得</w:t>
      </w:r>
      <w:r>
        <w:rPr>
          <w:rFonts w:hint="default" w:ascii="Times New Roman" w:hAnsi="Times New Roman" w:eastAsia="仿宋_GB2312" w:cs="Times New Roman"/>
          <w:kern w:val="0"/>
          <w:sz w:val="32"/>
          <w:szCs w:val="32"/>
          <w:lang w:eastAsia="zh-CN"/>
        </w:rPr>
        <w:t>装载</w:t>
      </w:r>
      <w:r>
        <w:rPr>
          <w:rFonts w:hint="default" w:ascii="Times New Roman" w:hAnsi="Times New Roman" w:eastAsia="仿宋_GB2312" w:cs="Times New Roman"/>
          <w:kern w:val="0"/>
          <w:sz w:val="32"/>
          <w:szCs w:val="32"/>
        </w:rPr>
        <w:t>硫含量超过0.5</w:t>
      </w:r>
      <w:r>
        <w:rPr>
          <w:rFonts w:hint="eastAsia" w:ascii="Times New Roman" w:hAnsi="Times New Roman" w:cs="Times New Roman"/>
          <w:kern w:val="0"/>
          <w:sz w:val="32"/>
          <w:szCs w:val="32"/>
          <w:lang w:val="en-US" w:eastAsia="zh-CN"/>
        </w:rPr>
        <w:t>0</w:t>
      </w:r>
      <w:r>
        <w:rPr>
          <w:rFonts w:hint="default" w:ascii="Times New Roman" w:hAnsi="Times New Roman" w:eastAsia="仿宋_GB2312" w:cs="Times New Roman"/>
          <w:kern w:val="0"/>
          <w:sz w:val="32"/>
          <w:szCs w:val="32"/>
        </w:rPr>
        <w:t>% m/m的燃油（以下简称</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不合规燃油</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632"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w:t>
      </w:r>
      <w:r>
        <w:rPr>
          <w:rFonts w:hint="default"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rPr>
        <w:t>国际航行船舶采用的替代措施满足《国际防止船舶造成污染公约》附则VI第4条所述等效要求的，可以免除本款第1、2、3项的要求。</w:t>
      </w:r>
      <w:r>
        <w:rPr>
          <w:rFonts w:hint="default" w:ascii="Times New Roman" w:hAnsi="Times New Roman" w:eastAsia="仿宋_GB2312" w:cs="Times New Roman"/>
          <w:kern w:val="0"/>
          <w:sz w:val="32"/>
          <w:szCs w:val="32"/>
          <w:lang w:eastAsia="zh-CN"/>
        </w:rPr>
        <w:t>上述</w:t>
      </w:r>
      <w:r>
        <w:rPr>
          <w:rFonts w:hint="eastAsia" w:ascii="Times New Roman" w:hAnsi="Times New Roman" w:cs="Times New Roman"/>
          <w:kern w:val="0"/>
          <w:sz w:val="32"/>
          <w:szCs w:val="32"/>
          <w:lang w:eastAsia="zh-CN"/>
        </w:rPr>
        <w:t>“</w:t>
      </w:r>
      <w:r>
        <w:rPr>
          <w:rFonts w:hint="default" w:ascii="Times New Roman" w:hAnsi="Times New Roman" w:eastAsia="仿宋_GB2312" w:cs="Times New Roman"/>
          <w:bCs/>
          <w:sz w:val="32"/>
          <w:szCs w:val="32"/>
        </w:rPr>
        <w:t>替代措施</w:t>
      </w:r>
      <w:r>
        <w:rPr>
          <w:rFonts w:hint="eastAsia" w:ascii="Times New Roman" w:hAnsi="Times New Roman" w:cs="Times New Roman"/>
          <w:kern w:val="0"/>
          <w:sz w:val="32"/>
          <w:szCs w:val="32"/>
          <w:lang w:eastAsia="zh-CN"/>
        </w:rPr>
        <w:t>”</w:t>
      </w:r>
      <w:r>
        <w:rPr>
          <w:rFonts w:hint="default" w:ascii="Times New Roman" w:hAnsi="Times New Roman" w:eastAsia="仿宋_GB2312" w:cs="Times New Roman"/>
          <w:bCs/>
          <w:sz w:val="32"/>
          <w:szCs w:val="32"/>
        </w:rPr>
        <w:t>系指船舶使用任何装置、设备或者替代燃料，使船舶取得与规定相同或者更好的大气污染减排效果的措施。</w:t>
      </w:r>
      <w:r>
        <w:rPr>
          <w:rFonts w:hint="default" w:ascii="Times New Roman" w:hAnsi="Times New Roman" w:eastAsia="仿宋_GB2312" w:cs="Times New Roman"/>
          <w:kern w:val="0"/>
          <w:sz w:val="32"/>
          <w:szCs w:val="32"/>
        </w:rPr>
        <w:t>自2020年1月1日起，国际航行船舶不得在我国船舶大气污染物排放控制区内排放开式废气清洗系统洗涤水。</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楷体" w:hAnsi="楷体" w:eastAsia="楷体"/>
          <w:b w:val="0"/>
          <w:bCs/>
          <w:sz w:val="32"/>
          <w:szCs w:val="32"/>
        </w:rPr>
      </w:pPr>
      <w:r>
        <w:rPr>
          <w:rFonts w:hint="eastAsia" w:ascii="楷体" w:hAnsi="楷体" w:eastAsia="楷体"/>
          <w:b w:val="0"/>
          <w:bCs/>
          <w:sz w:val="32"/>
          <w:szCs w:val="32"/>
        </w:rPr>
        <w:t>（二）船舶使用和</w:t>
      </w:r>
      <w:r>
        <w:rPr>
          <w:rFonts w:hint="eastAsia" w:ascii="楷体" w:hAnsi="楷体" w:eastAsia="楷体"/>
          <w:b w:val="0"/>
          <w:bCs/>
          <w:sz w:val="32"/>
          <w:szCs w:val="32"/>
          <w:lang w:eastAsia="zh-CN"/>
        </w:rPr>
        <w:t>装载</w:t>
      </w:r>
      <w:r>
        <w:rPr>
          <w:rFonts w:hint="eastAsia" w:ascii="楷体" w:hAnsi="楷体" w:eastAsia="楷体"/>
          <w:b w:val="0"/>
          <w:bCs/>
          <w:sz w:val="32"/>
          <w:szCs w:val="32"/>
        </w:rPr>
        <w:t>燃油信息报送要求</w:t>
      </w:r>
      <w:r>
        <w:rPr>
          <w:rFonts w:hint="eastAsia" w:ascii="楷体" w:hAnsi="楷体" w:eastAsia="楷体"/>
          <w:b w:val="0"/>
          <w:bCs/>
          <w:sz w:val="32"/>
          <w:szCs w:val="32"/>
          <w:lang w:eastAsia="zh-CN"/>
        </w:rPr>
        <w:t>。</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632" w:firstLineChars="200"/>
        <w:jc w:val="both"/>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5.</w:t>
      </w:r>
      <w:r>
        <w:rPr>
          <w:rFonts w:hint="default" w:ascii="Times New Roman" w:hAnsi="Times New Roman" w:eastAsia="仿宋_GB2312" w:cs="Times New Roman"/>
          <w:bCs/>
          <w:sz w:val="32"/>
          <w:szCs w:val="32"/>
        </w:rPr>
        <w:t>2020年1月1日起，中国籍国际航行船舶无法获取合规燃油导致船舶使用或者</w:t>
      </w:r>
      <w:r>
        <w:rPr>
          <w:rFonts w:hint="default" w:ascii="Times New Roman" w:hAnsi="Times New Roman" w:eastAsia="仿宋_GB2312" w:cs="Times New Roman"/>
          <w:bCs/>
          <w:sz w:val="32"/>
          <w:szCs w:val="32"/>
          <w:lang w:eastAsia="zh-CN"/>
        </w:rPr>
        <w:t>装载</w:t>
      </w:r>
      <w:r>
        <w:rPr>
          <w:rFonts w:hint="default" w:ascii="Times New Roman" w:hAnsi="Times New Roman" w:eastAsia="仿宋_GB2312" w:cs="Times New Roman"/>
          <w:bCs/>
          <w:sz w:val="32"/>
          <w:szCs w:val="32"/>
        </w:rPr>
        <w:t>不合规燃油的，应当立即向船籍港海事管理机构报告，并向下一港主管机关提交《合规燃油不可获得报告》（附件），下一港为我国港口的，应当向该港口的海事管理机构提交《合规燃油不可获得报告》。《合规燃油不可获得报告》副本应当在船保留36个月以备检查。</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632" w:firstLineChars="200"/>
        <w:jc w:val="both"/>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6.</w:t>
      </w:r>
      <w:r>
        <w:rPr>
          <w:rFonts w:hint="default" w:ascii="Times New Roman" w:hAnsi="Times New Roman" w:eastAsia="仿宋_GB2312" w:cs="Times New Roman"/>
          <w:bCs/>
          <w:sz w:val="32"/>
          <w:szCs w:val="32"/>
        </w:rPr>
        <w:t>2020年1月1日起，外国籍国际航行船舶无法获取合规燃油导致船舶使用或</w:t>
      </w:r>
      <w:r>
        <w:rPr>
          <w:rFonts w:hint="default" w:ascii="Times New Roman" w:hAnsi="Times New Roman" w:eastAsia="仿宋_GB2312" w:cs="Times New Roman"/>
          <w:bCs/>
          <w:sz w:val="32"/>
          <w:szCs w:val="32"/>
          <w:lang w:eastAsia="zh-CN"/>
        </w:rPr>
        <w:t>装载</w:t>
      </w:r>
      <w:r>
        <w:rPr>
          <w:rFonts w:hint="default" w:ascii="Times New Roman" w:hAnsi="Times New Roman" w:eastAsia="仿宋_GB2312" w:cs="Times New Roman"/>
          <w:bCs/>
          <w:sz w:val="32"/>
          <w:szCs w:val="32"/>
        </w:rPr>
        <w:t>不合规燃油，下一港为我国港口的，应当在到达我国管辖水域前向该港口的海事管理机构提交《合规燃油不可获得报告》。</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632" w:firstLineChars="200"/>
        <w:jc w:val="both"/>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7.</w:t>
      </w:r>
      <w:r>
        <w:rPr>
          <w:rFonts w:hint="default" w:ascii="Times New Roman" w:hAnsi="Times New Roman" w:eastAsia="仿宋_GB2312" w:cs="Times New Roman"/>
          <w:bCs/>
          <w:sz w:val="32"/>
          <w:szCs w:val="32"/>
        </w:rPr>
        <w:t>2020年1月1日起，中国籍国际航行船舶发现加装燃油的品质不符合《国际防止船舶造成污染公约》附则VI第14条或第18条要求的，应当立即向船籍港海事管理机构报告不合规燃油信息，包括燃油加装港口、燃油供给单位和燃油检测报告等相关信息。</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632" w:firstLineChars="200"/>
        <w:jc w:val="both"/>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8.</w:t>
      </w:r>
      <w:r>
        <w:rPr>
          <w:rFonts w:hint="default" w:ascii="Times New Roman" w:hAnsi="Times New Roman" w:eastAsia="仿宋_GB2312" w:cs="Times New Roman"/>
          <w:bCs/>
          <w:sz w:val="32"/>
          <w:szCs w:val="32"/>
          <w:lang w:eastAsia="zh-CN"/>
        </w:rPr>
        <w:t>中华人民共和国</w:t>
      </w:r>
      <w:r>
        <w:rPr>
          <w:rFonts w:hint="default" w:ascii="Times New Roman" w:hAnsi="Times New Roman" w:eastAsia="仿宋_GB2312" w:cs="Times New Roman"/>
          <w:bCs/>
          <w:sz w:val="32"/>
          <w:szCs w:val="32"/>
        </w:rPr>
        <w:t>海事局定期向国际海事组织报送经确认的船舶《合规燃油不可获得报告》和中国籍国际航行船舶加装的不合规燃油信息。</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楷体" w:hAnsi="楷体" w:eastAsia="楷体"/>
          <w:b w:val="0"/>
          <w:bCs/>
          <w:sz w:val="32"/>
          <w:szCs w:val="32"/>
        </w:rPr>
      </w:pPr>
      <w:r>
        <w:rPr>
          <w:rFonts w:hint="eastAsia" w:ascii="楷体" w:hAnsi="楷体" w:eastAsia="楷体"/>
          <w:b w:val="0"/>
          <w:bCs/>
          <w:sz w:val="32"/>
          <w:szCs w:val="32"/>
        </w:rPr>
        <w:t>（三）</w:t>
      </w:r>
      <w:r>
        <w:rPr>
          <w:rFonts w:hint="eastAsia" w:ascii="楷体" w:hAnsi="楷体" w:eastAsia="楷体"/>
          <w:b w:val="0"/>
          <w:bCs/>
          <w:sz w:val="32"/>
          <w:szCs w:val="32"/>
          <w:lang w:eastAsia="zh-CN"/>
        </w:rPr>
        <w:t>船舶装载</w:t>
      </w:r>
      <w:r>
        <w:rPr>
          <w:rFonts w:hint="eastAsia" w:ascii="楷体" w:hAnsi="楷体" w:eastAsia="楷体"/>
          <w:b w:val="0"/>
          <w:bCs/>
          <w:sz w:val="32"/>
          <w:szCs w:val="32"/>
        </w:rPr>
        <w:t>不合规燃油</w:t>
      </w:r>
      <w:r>
        <w:rPr>
          <w:rFonts w:hint="eastAsia" w:ascii="楷体" w:hAnsi="楷体" w:eastAsia="楷体"/>
          <w:b w:val="0"/>
          <w:bCs/>
          <w:sz w:val="32"/>
          <w:szCs w:val="32"/>
          <w:lang w:eastAsia="zh-CN"/>
        </w:rPr>
        <w:t>处置</w:t>
      </w:r>
      <w:r>
        <w:rPr>
          <w:rFonts w:hint="eastAsia" w:ascii="楷体" w:hAnsi="楷体" w:eastAsia="楷体"/>
          <w:b w:val="0"/>
          <w:bCs/>
          <w:sz w:val="32"/>
          <w:szCs w:val="32"/>
        </w:rPr>
        <w:t>要求</w:t>
      </w:r>
      <w:r>
        <w:rPr>
          <w:rFonts w:hint="eastAsia" w:ascii="楷体" w:hAnsi="楷体" w:eastAsia="楷体"/>
          <w:b w:val="0"/>
          <w:bCs/>
          <w:sz w:val="32"/>
          <w:szCs w:val="32"/>
          <w:lang w:eastAsia="zh-CN"/>
        </w:rPr>
        <w:t>。</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9.2020年3月1日起，国际航行船舶在我国管辖水域违规装载不合规燃油的，应按照国际海事组织《关于解决不合规燃油紧急措施的港口国监督指南》（MEPC.1/Circ.882），可采取卸载不合规燃油的措施，或者经所在港的海事管理机构同意，将不合规燃油留存船上并提供不在我国管辖水域使用不合规燃油保证书的措施满足要求。</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632" w:firstLineChars="200"/>
        <w:jc w:val="both"/>
        <w:textAlignment w:val="auto"/>
        <w:outlineLvl w:val="9"/>
        <w:rPr>
          <w:rFonts w:hint="default"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10.国际航行船舶卸载不合规燃油的，应当按照《中华人民共和国船舶及其有关作业活动污染海洋环境防治管理规定》《中华人民共和国防治船舶污染内河水域环境管理规定》中有关船舶油料供受作业的规定，向作业地海事管理机构报告，并落实安全与防污染措施。</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楷体" w:hAnsi="楷体" w:eastAsia="楷体"/>
          <w:b w:val="0"/>
          <w:bCs/>
          <w:sz w:val="32"/>
          <w:szCs w:val="32"/>
        </w:rPr>
      </w:pPr>
      <w:r>
        <w:rPr>
          <w:rFonts w:hint="eastAsia" w:ascii="楷体" w:hAnsi="楷体" w:eastAsia="楷体"/>
          <w:b w:val="0"/>
          <w:bCs/>
          <w:sz w:val="32"/>
          <w:szCs w:val="32"/>
        </w:rPr>
        <w:t>（四）供油单位备案</w:t>
      </w:r>
      <w:r>
        <w:rPr>
          <w:rFonts w:hint="eastAsia" w:ascii="楷体" w:hAnsi="楷体" w:eastAsia="楷体"/>
          <w:b w:val="0"/>
          <w:bCs/>
          <w:sz w:val="32"/>
          <w:szCs w:val="32"/>
          <w:lang w:eastAsia="zh-CN"/>
        </w:rPr>
        <w:t>。</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11.2019年11月30日前，船舶保税燃油供给单位（以下简称“供油单位”）应当将在我国港口供应合规燃油的供应能力和联系方式等信息报送至中华人民共和国海事局，由中华人民共和国海事局统一报国际海事组织；供油单位的供应能力和其它信息有变化的，应当及时更新信息。</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12.供油单位应当按照《中华人民共和国船舶及其有关作业活动污染海洋环境防治管理规定》和《海事政务服务指南》中的船舶油料供受作业单位备案要求，向海事管理机构提交备案材料，拟在内河从事船舶保税燃油供给的参照执行。</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楷体" w:hAnsi="楷体" w:eastAsia="楷体"/>
          <w:b w:val="0"/>
          <w:bCs/>
          <w:sz w:val="32"/>
          <w:szCs w:val="32"/>
        </w:rPr>
      </w:pPr>
      <w:r>
        <w:rPr>
          <w:rFonts w:hint="eastAsia" w:ascii="楷体" w:hAnsi="楷体" w:eastAsia="楷体"/>
          <w:b w:val="0"/>
          <w:bCs/>
          <w:sz w:val="32"/>
          <w:szCs w:val="32"/>
        </w:rPr>
        <w:t>（五）监督管理</w:t>
      </w:r>
      <w:r>
        <w:rPr>
          <w:rFonts w:hint="eastAsia" w:ascii="楷体" w:hAnsi="楷体" w:eastAsia="楷体"/>
          <w:b w:val="0"/>
          <w:bCs/>
          <w:sz w:val="32"/>
          <w:szCs w:val="32"/>
          <w:lang w:eastAsia="zh-CN"/>
        </w:rPr>
        <w:t>。</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13.各级海事管理机构应当按照我局制定的现场监督管理指南对国际航行船舶和供油单位的供油船开展现场检查；对于违反规定的船舶，海事管理机构应当按照《大气污染防治法》等有关法律法规和本方案的要求予以处理；对于供油单位所供应供的燃油超标的，可通报有关主管部门并定期向社会公开监管信息。</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14.各级海事管理机构可采取船用燃油取样化验的方式开展监督检查，并按照国际海事组织《提前实施MARPOL附则VI中燃油样品验证程序的通知》（MEPC.1/Circ.881）的规定判定船用燃油硫含量是否超标。</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632" w:firstLineChars="200"/>
        <w:jc w:val="both"/>
        <w:textAlignment w:val="auto"/>
        <w:outlineLvl w:val="9"/>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15.各级海事管理机构对船舶提交的《合规燃油不可获得报告》的完整性和真实性可视情进行审查，经审查认为符合的，海事管理机构不应对船舶予以处罚，并按照本方案要求予以处理；经审查认为不符的，海事管理机构应当按照本方案要求予以处理。</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632" w:firstLineChars="200"/>
        <w:jc w:val="both"/>
        <w:textAlignment w:val="auto"/>
        <w:outlineLvl w:val="9"/>
        <w:rPr>
          <w:rFonts w:eastAsia="黑体"/>
          <w:sz w:val="32"/>
          <w:szCs w:val="32"/>
        </w:rPr>
      </w:pPr>
      <w:r>
        <w:rPr>
          <w:rFonts w:hint="eastAsia" w:eastAsia="黑体"/>
          <w:sz w:val="32"/>
          <w:szCs w:val="32"/>
        </w:rPr>
        <w:t>三</w:t>
      </w:r>
      <w:r>
        <w:rPr>
          <w:rFonts w:eastAsia="黑体"/>
          <w:sz w:val="32"/>
          <w:szCs w:val="32"/>
        </w:rPr>
        <w:t>、保障</w:t>
      </w:r>
      <w:r>
        <w:rPr>
          <w:rFonts w:hint="eastAsia" w:eastAsia="黑体"/>
          <w:sz w:val="32"/>
          <w:szCs w:val="32"/>
        </w:rPr>
        <w:t>措施</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632" w:firstLineChars="200"/>
        <w:jc w:val="both"/>
        <w:textAlignment w:val="auto"/>
        <w:outlineLvl w:val="9"/>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zh-CN" w:eastAsia="zh-CN"/>
        </w:rPr>
        <w:t>（一）提高认识，认真落实。各航运单位要充分认识当前国内外船舶大气污染防治的严峻形势，提前做好全球限硫令实施前的准备工作，认真执行本方案的各项要求，落实企业主体责任，保障新规的实施效果</w:t>
      </w:r>
      <w:r>
        <w:rPr>
          <w:rFonts w:hint="default" w:ascii="Times New Roman" w:hAnsi="Times New Roman" w:eastAsia="仿宋_GB2312" w:cs="Times New Roman"/>
          <w:bCs/>
          <w:sz w:val="32"/>
          <w:szCs w:val="32"/>
          <w:lang w:val="en-US" w:eastAsia="zh-CN"/>
        </w:rPr>
        <w:t>。</w:t>
      </w:r>
      <w:r>
        <w:rPr>
          <w:rFonts w:hint="default" w:ascii="Times New Roman" w:hAnsi="Times New Roman" w:eastAsia="仿宋_GB2312" w:cs="Times New Roman"/>
          <w:bCs/>
          <w:sz w:val="32"/>
          <w:szCs w:val="32"/>
          <w:lang w:val="zh-CN" w:eastAsia="zh-CN"/>
        </w:rPr>
        <w:t>各供油单位要积极获取燃油资源，保障我国港口低硫船用燃油供应能力。</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632" w:firstLineChars="200"/>
        <w:jc w:val="both"/>
        <w:textAlignment w:val="auto"/>
        <w:outlineLvl w:val="9"/>
        <w:rPr>
          <w:rFonts w:hint="default" w:ascii="Times New Roman" w:hAnsi="Times New Roman" w:eastAsia="仿宋_GB2312" w:cs="Times New Roman"/>
          <w:bCs/>
          <w:sz w:val="32"/>
          <w:szCs w:val="32"/>
          <w:lang w:val="zh-CN" w:eastAsia="zh-CN"/>
        </w:rPr>
      </w:pPr>
      <w:r>
        <w:rPr>
          <w:rFonts w:hint="default" w:ascii="Times New Roman" w:hAnsi="Times New Roman" w:eastAsia="仿宋_GB2312" w:cs="Times New Roman"/>
          <w:bCs/>
          <w:sz w:val="32"/>
          <w:szCs w:val="32"/>
          <w:lang w:val="zh-CN" w:eastAsia="zh-CN"/>
        </w:rPr>
        <w:t>（二）加强监管，注重服务。中华人民共和国海事局将在全球限硫令实施前建立全国统一的船舶燃油报告信息系统。各级海事管理机构要加强对到港国际航行船舶以及供油单位的监督检查，在实施本方案时要注意方式方法，充分考虑安全问题，避免对船舶造成不当延误；要落实</w:t>
      </w:r>
      <w:r>
        <w:rPr>
          <w:rFonts w:hint="default" w:ascii="Times New Roman" w:hAnsi="Times New Roman" w:eastAsia="仿宋_GB2312" w:cs="Times New Roman"/>
          <w:bCs/>
          <w:sz w:val="32"/>
          <w:szCs w:val="32"/>
          <w:lang w:val="en-US" w:eastAsia="zh-CN"/>
        </w:rPr>
        <w:t>交通运输部等13部委联合印发的《关于加强船用低硫燃油供应保障和联合监管的指导意见》，建立部门间</w:t>
      </w:r>
      <w:r>
        <w:rPr>
          <w:rFonts w:hint="default" w:ascii="Times New Roman" w:hAnsi="Times New Roman" w:eastAsia="仿宋_GB2312" w:cs="Times New Roman"/>
          <w:bCs/>
          <w:sz w:val="32"/>
          <w:szCs w:val="32"/>
          <w:lang w:val="zh-CN" w:eastAsia="zh-CN"/>
        </w:rPr>
        <w:t>信息通报机制，监督船舶使用合规燃油</w:t>
      </w:r>
      <w:r>
        <w:rPr>
          <w:rFonts w:hint="default" w:ascii="Times New Roman" w:hAnsi="Times New Roman" w:eastAsia="仿宋_GB2312" w:cs="Times New Roman"/>
          <w:bCs/>
          <w:sz w:val="32"/>
          <w:szCs w:val="32"/>
          <w:lang w:val="en-US" w:eastAsia="zh-CN"/>
        </w:rPr>
        <w:t>。</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632" w:firstLineChars="200"/>
        <w:jc w:val="both"/>
        <w:textAlignment w:val="auto"/>
        <w:outlineLvl w:val="9"/>
        <w:rPr>
          <w:rFonts w:hint="default" w:ascii="Times New Roman" w:hAnsi="Times New Roman" w:eastAsia="仿宋_GB2312" w:cs="Times New Roman"/>
          <w:bCs/>
          <w:sz w:val="32"/>
          <w:szCs w:val="32"/>
          <w:lang w:val="zh-CN" w:eastAsia="zh-CN"/>
        </w:rPr>
      </w:pPr>
      <w:r>
        <w:rPr>
          <w:rFonts w:hint="default" w:ascii="Times New Roman" w:hAnsi="Times New Roman" w:eastAsia="仿宋_GB2312" w:cs="Times New Roman"/>
          <w:bCs/>
          <w:sz w:val="32"/>
          <w:szCs w:val="32"/>
          <w:lang w:val="zh-CN" w:eastAsia="zh-CN"/>
        </w:rPr>
        <w:t>（三）加强宣传，强化引导。各单位要充分利用传统媒体与新媒体的方式，宣传实施全球限硫令的目的意义和具体要求，加大经验交流推广和违法案例警示力度，为工作开展营造有利的舆论环境。</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632" w:firstLineChars="200"/>
        <w:jc w:val="both"/>
        <w:textAlignment w:val="auto"/>
        <w:outlineLvl w:val="9"/>
        <w:rPr>
          <w:rFonts w:hint="default" w:ascii="Times New Roman" w:hAnsi="Times New Roman" w:eastAsia="仿宋_GB2312" w:cs="Times New Roman"/>
          <w:bCs/>
          <w:sz w:val="32"/>
          <w:szCs w:val="32"/>
          <w:lang w:val="en-US" w:eastAsia="zh-CN"/>
        </w:rPr>
      </w:pP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632" w:firstLineChars="200"/>
        <w:jc w:val="both"/>
        <w:textAlignment w:val="auto"/>
        <w:outlineLvl w:val="9"/>
        <w:rPr>
          <w:rFonts w:hint="default" w:ascii="Times New Roman" w:hAnsi="Times New Roman" w:eastAsia="仿宋_GB2312" w:cs="Times New Roman"/>
          <w:bCs/>
          <w:sz w:val="32"/>
          <w:szCs w:val="32"/>
          <w:lang w:val="zh-CN" w:eastAsia="zh-CN"/>
        </w:rPr>
      </w:pPr>
      <w:r>
        <w:rPr>
          <w:rFonts w:hint="default" w:ascii="Times New Roman" w:hAnsi="Times New Roman" w:eastAsia="仿宋_GB2312" w:cs="Times New Roman"/>
          <w:bCs/>
          <w:sz w:val="32"/>
          <w:szCs w:val="32"/>
          <w:lang w:val="en-US" w:eastAsia="zh-CN"/>
        </w:rPr>
        <w:t>附件</w:t>
      </w:r>
      <w:r>
        <w:rPr>
          <w:rFonts w:hint="default" w:ascii="Times New Roman" w:hAnsi="Times New Roman" w:eastAsia="仿宋_GB2312" w:cs="Times New Roman"/>
          <w:bCs/>
          <w:sz w:val="32"/>
          <w:szCs w:val="32"/>
          <w:lang w:val="zh-CN" w:eastAsia="zh-CN"/>
        </w:rPr>
        <w:t>：合规燃油不可获得报告（样本）</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firstLine="0" w:firstLineChars="0"/>
        <w:jc w:val="both"/>
        <w:textAlignment w:val="auto"/>
        <w:outlineLvl w:val="9"/>
        <w:rPr>
          <w:rFonts w:hint="eastAsia" w:eastAsia="仿宋_GB2312"/>
          <w:sz w:val="32"/>
          <w:szCs w:val="32"/>
          <w:lang w:val="zh-CN"/>
        </w:rPr>
      </w:pPr>
      <w:r>
        <w:rPr>
          <w:rFonts w:hint="eastAsia" w:eastAsia="仿宋_GB2312"/>
          <w:sz w:val="32"/>
          <w:szCs w:val="32"/>
          <w:lang w:val="zh-CN"/>
        </w:rPr>
        <w:br w:type="page"/>
      </w:r>
      <w:r>
        <w:rPr>
          <w:rFonts w:hint="eastAsia" w:ascii="黑体" w:hAnsi="黑体" w:eastAsia="黑体"/>
          <w:sz w:val="32"/>
          <w:szCs w:val="32"/>
          <w:lang w:val="zh-CN"/>
        </w:rPr>
        <w:t>附件</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黑体" w:hAnsi="黑体" w:eastAsia="黑体" w:cs="黑体"/>
          <w:b w:val="0"/>
          <w:bCs w:val="0"/>
          <w:sz w:val="36"/>
          <w:szCs w:val="36"/>
        </w:rPr>
      </w:pPr>
      <w:r>
        <w:rPr>
          <w:rFonts w:hint="eastAsia" w:ascii="黑体" w:hAnsi="黑体" w:eastAsia="黑体" w:cs="黑体"/>
          <w:b w:val="0"/>
          <w:bCs w:val="0"/>
          <w:sz w:val="36"/>
          <w:szCs w:val="36"/>
        </w:rPr>
        <w:t>合规燃油不可获得报告</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0" w:firstLineChars="0"/>
        <w:jc w:val="center"/>
        <w:textAlignment w:val="auto"/>
        <w:outlineLvl w:val="9"/>
        <w:rPr>
          <w:rFonts w:hint="eastAsia" w:ascii="仿宋" w:hAnsi="仿宋" w:eastAsia="仿宋"/>
          <w:b w:val="0"/>
          <w:bCs w:val="0"/>
          <w:sz w:val="28"/>
          <w:szCs w:val="28"/>
        </w:rPr>
      </w:pPr>
      <w:r>
        <w:rPr>
          <w:rFonts w:hint="eastAsia" w:ascii="仿宋" w:hAnsi="仿宋" w:eastAsia="仿宋"/>
          <w:b w:val="0"/>
          <w:bCs w:val="0"/>
          <w:sz w:val="28"/>
          <w:szCs w:val="28"/>
        </w:rPr>
        <w:t>（</w:t>
      </w:r>
      <w:r>
        <w:rPr>
          <w:rFonts w:hint="eastAsia" w:ascii="仿宋" w:hAnsi="仿宋" w:eastAsia="仿宋"/>
          <w:b w:val="0"/>
          <w:bCs w:val="0"/>
          <w:sz w:val="28"/>
          <w:szCs w:val="28"/>
          <w:lang w:eastAsia="zh-CN"/>
        </w:rPr>
        <w:t>样本</w:t>
      </w:r>
      <w:r>
        <w:rPr>
          <w:rFonts w:hint="eastAsia" w:ascii="仿宋" w:hAnsi="仿宋" w:eastAsia="仿宋"/>
          <w:b w:val="0"/>
          <w:bCs w:val="0"/>
          <w:sz w:val="28"/>
          <w:szCs w:val="28"/>
        </w:rPr>
        <w:t>）</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jc w:val="both"/>
        <w:textAlignment w:val="auto"/>
        <w:outlineLvl w:val="9"/>
        <w:rPr>
          <w:rFonts w:ascii="仿宋" w:hAnsi="仿宋" w:eastAsia="仿宋"/>
          <w:sz w:val="28"/>
          <w:szCs w:val="28"/>
        </w:rPr>
      </w:pPr>
      <w:r>
        <w:rPr>
          <w:rFonts w:hint="eastAsia" w:ascii="仿宋" w:hAnsi="仿宋" w:eastAsia="仿宋"/>
          <w:sz w:val="28"/>
          <w:szCs w:val="28"/>
        </w:rPr>
        <w:t>注意</w:t>
      </w:r>
      <w:r>
        <w:rPr>
          <w:rFonts w:ascii="仿宋" w:hAnsi="仿宋" w:eastAsia="仿宋"/>
          <w:sz w:val="28"/>
          <w:szCs w:val="28"/>
        </w:rPr>
        <w:t>:</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jc w:val="both"/>
        <w:textAlignment w:val="auto"/>
        <w:outlineLvl w:val="9"/>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该文件为</w:t>
      </w:r>
      <w:r>
        <w:rPr>
          <w:rFonts w:hint="eastAsia" w:ascii="仿宋" w:hAnsi="仿宋" w:eastAsia="仿宋"/>
          <w:sz w:val="28"/>
          <w:szCs w:val="28"/>
          <w:lang w:eastAsia="zh-CN"/>
        </w:rPr>
        <w:t>《</w:t>
      </w:r>
      <w:r>
        <w:rPr>
          <w:rFonts w:hint="eastAsia" w:ascii="仿宋" w:hAnsi="仿宋" w:eastAsia="仿宋"/>
          <w:sz w:val="28"/>
          <w:szCs w:val="28"/>
        </w:rPr>
        <w:t>2019年MARPOL附则VI 0.50％ m/m硫含量限值的统一实施导则</w:t>
      </w:r>
      <w:r>
        <w:rPr>
          <w:rFonts w:hint="eastAsia" w:ascii="仿宋" w:hAnsi="仿宋" w:eastAsia="仿宋"/>
          <w:sz w:val="28"/>
          <w:szCs w:val="28"/>
          <w:lang w:eastAsia="zh-CN"/>
        </w:rPr>
        <w:t>》</w:t>
      </w:r>
      <w:r>
        <w:rPr>
          <w:rFonts w:hint="eastAsia" w:ascii="仿宋" w:hAnsi="仿宋" w:eastAsia="仿宋"/>
          <w:sz w:val="28"/>
          <w:szCs w:val="28"/>
        </w:rPr>
        <w:t>附录1的中译本，若遇争议，以英文版为准。</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jc w:val="both"/>
        <w:textAlignment w:val="auto"/>
        <w:outlineLvl w:val="9"/>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根据</w:t>
      </w:r>
      <w:r>
        <w:rPr>
          <w:rFonts w:ascii="仿宋" w:hAnsi="仿宋" w:eastAsia="仿宋"/>
          <w:sz w:val="28"/>
          <w:szCs w:val="28"/>
        </w:rPr>
        <w:t>MARPOL</w:t>
      </w:r>
      <w:r>
        <w:rPr>
          <w:rFonts w:hint="eastAsia" w:ascii="仿宋" w:hAnsi="仿宋" w:eastAsia="仿宋"/>
          <w:sz w:val="28"/>
          <w:szCs w:val="28"/>
        </w:rPr>
        <w:t>附则VI第</w:t>
      </w:r>
      <w:r>
        <w:rPr>
          <w:rFonts w:ascii="仿宋" w:hAnsi="仿宋" w:eastAsia="仿宋"/>
          <w:sz w:val="28"/>
          <w:szCs w:val="28"/>
        </w:rPr>
        <w:t>18.2.4</w:t>
      </w:r>
      <w:r>
        <w:rPr>
          <w:rFonts w:hint="eastAsia" w:ascii="仿宋" w:hAnsi="仿宋" w:eastAsia="仿宋"/>
          <w:sz w:val="28"/>
          <w:szCs w:val="28"/>
        </w:rPr>
        <w:t>条的规定，</w:t>
      </w:r>
      <w:r>
        <w:rPr>
          <w:rFonts w:hint="eastAsia" w:ascii="仿宋" w:hAnsi="仿宋" w:eastAsia="仿宋"/>
          <w:sz w:val="28"/>
          <w:szCs w:val="28"/>
          <w:lang w:eastAsia="zh-CN"/>
        </w:rPr>
        <w:t>《合规燃油不可获得报告》（以下简称“本报告”）</w:t>
      </w:r>
      <w:r>
        <w:rPr>
          <w:rFonts w:hint="eastAsia" w:ascii="仿宋" w:hAnsi="仿宋" w:eastAsia="仿宋"/>
          <w:sz w:val="28"/>
          <w:szCs w:val="28"/>
        </w:rPr>
        <w:t>应发送给船旗国主管机关和目的港当局。船方</w:t>
      </w:r>
      <w:r>
        <w:rPr>
          <w:rFonts w:ascii="仿宋" w:hAnsi="仿宋" w:eastAsia="仿宋"/>
          <w:sz w:val="28"/>
          <w:szCs w:val="28"/>
        </w:rPr>
        <w:t>/</w:t>
      </w:r>
      <w:r>
        <w:rPr>
          <w:rFonts w:hint="eastAsia" w:ascii="仿宋" w:hAnsi="仿宋" w:eastAsia="仿宋"/>
          <w:sz w:val="28"/>
          <w:szCs w:val="28"/>
        </w:rPr>
        <w:t>经营人一旦确定无法获得合规燃油，须尽可能在离开无法获得合规燃油的港口</w:t>
      </w:r>
      <w:r>
        <w:rPr>
          <w:rFonts w:ascii="仿宋" w:hAnsi="仿宋" w:eastAsia="仿宋"/>
          <w:sz w:val="28"/>
          <w:szCs w:val="28"/>
        </w:rPr>
        <w:t>/</w:t>
      </w:r>
      <w:r>
        <w:rPr>
          <w:rFonts w:hint="eastAsia" w:ascii="仿宋" w:hAnsi="仿宋" w:eastAsia="仿宋"/>
          <w:sz w:val="28"/>
          <w:szCs w:val="28"/>
        </w:rPr>
        <w:t>码头之前发送本报告。</w:t>
      </w:r>
      <w:r>
        <w:rPr>
          <w:rFonts w:hint="eastAsia" w:ascii="仿宋" w:hAnsi="仿宋" w:eastAsia="仿宋"/>
          <w:sz w:val="28"/>
          <w:szCs w:val="28"/>
          <w:lang w:eastAsia="zh-CN"/>
        </w:rPr>
        <w:t>本报告</w:t>
      </w:r>
      <w:r>
        <w:rPr>
          <w:rFonts w:hint="eastAsia" w:ascii="仿宋" w:hAnsi="仿宋" w:eastAsia="仿宋"/>
          <w:sz w:val="28"/>
          <w:szCs w:val="28"/>
        </w:rPr>
        <w:t>的副本应在船保留</w:t>
      </w:r>
      <w:r>
        <w:rPr>
          <w:rFonts w:ascii="仿宋" w:hAnsi="仿宋" w:eastAsia="仿宋"/>
          <w:sz w:val="28"/>
          <w:szCs w:val="28"/>
        </w:rPr>
        <w:t>36</w:t>
      </w:r>
      <w:r>
        <w:rPr>
          <w:rFonts w:hint="eastAsia" w:ascii="仿宋" w:hAnsi="仿宋" w:eastAsia="仿宋"/>
          <w:sz w:val="28"/>
          <w:szCs w:val="28"/>
        </w:rPr>
        <w:t>个月以备检查之需。</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jc w:val="both"/>
        <w:textAlignment w:val="auto"/>
        <w:outlineLvl w:val="9"/>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如果船舶无法获得符合</w:t>
      </w:r>
      <w:r>
        <w:rPr>
          <w:rFonts w:ascii="仿宋" w:hAnsi="仿宋" w:eastAsia="仿宋"/>
          <w:sz w:val="28"/>
          <w:szCs w:val="28"/>
        </w:rPr>
        <w:t>MARPOL</w:t>
      </w:r>
      <w:r>
        <w:rPr>
          <w:rFonts w:hint="eastAsia" w:ascii="仿宋" w:hAnsi="仿宋" w:eastAsia="仿宋"/>
          <w:sz w:val="28"/>
          <w:szCs w:val="28"/>
        </w:rPr>
        <w:t>附则VI中第</w:t>
      </w:r>
      <w:r>
        <w:rPr>
          <w:rFonts w:ascii="仿宋" w:hAnsi="仿宋" w:eastAsia="仿宋"/>
          <w:sz w:val="28"/>
          <w:szCs w:val="28"/>
        </w:rPr>
        <w:t>14.1</w:t>
      </w:r>
      <w:r>
        <w:rPr>
          <w:rFonts w:hint="eastAsia" w:ascii="仿宋" w:hAnsi="仿宋" w:eastAsia="仿宋"/>
          <w:sz w:val="28"/>
          <w:szCs w:val="28"/>
        </w:rPr>
        <w:t>或</w:t>
      </w:r>
      <w:r>
        <w:rPr>
          <w:rFonts w:ascii="仿宋" w:hAnsi="仿宋" w:eastAsia="仿宋"/>
          <w:sz w:val="28"/>
          <w:szCs w:val="28"/>
        </w:rPr>
        <w:t>14.4</w:t>
      </w:r>
      <w:r>
        <w:rPr>
          <w:rFonts w:hint="eastAsia" w:ascii="仿宋" w:hAnsi="仿宋" w:eastAsia="仿宋"/>
          <w:sz w:val="28"/>
          <w:szCs w:val="28"/>
        </w:rPr>
        <w:t>规定的燃油，则应提交本报告用以证明。</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jc w:val="both"/>
        <w:textAlignment w:val="auto"/>
        <w:outlineLvl w:val="9"/>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在填写</w:t>
      </w:r>
      <w:r>
        <w:rPr>
          <w:rFonts w:hint="eastAsia" w:ascii="仿宋" w:hAnsi="仿宋" w:eastAsia="仿宋"/>
          <w:sz w:val="28"/>
          <w:szCs w:val="28"/>
          <w:lang w:eastAsia="zh-CN"/>
        </w:rPr>
        <w:t>本报告</w:t>
      </w:r>
      <w:r>
        <w:rPr>
          <w:rFonts w:hint="eastAsia" w:ascii="仿宋" w:hAnsi="仿宋" w:eastAsia="仿宋"/>
          <w:sz w:val="28"/>
          <w:szCs w:val="28"/>
        </w:rPr>
        <w:t>之前，船方</w:t>
      </w:r>
      <w:r>
        <w:rPr>
          <w:rFonts w:ascii="仿宋" w:hAnsi="仿宋" w:eastAsia="仿宋"/>
          <w:sz w:val="28"/>
          <w:szCs w:val="28"/>
        </w:rPr>
        <w:t>/</w:t>
      </w:r>
      <w:r>
        <w:rPr>
          <w:rFonts w:hint="eastAsia" w:ascii="仿宋" w:hAnsi="仿宋" w:eastAsia="仿宋"/>
          <w:sz w:val="28"/>
          <w:szCs w:val="28"/>
        </w:rPr>
        <w:t>经营人应当注意以下事项：</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jc w:val="both"/>
        <w:textAlignment w:val="auto"/>
        <w:outlineLvl w:val="9"/>
        <w:rPr>
          <w:rFonts w:ascii="仿宋" w:hAnsi="仿宋" w:eastAsia="仿宋"/>
          <w:sz w:val="28"/>
          <w:szCs w:val="28"/>
        </w:rPr>
      </w:pPr>
      <w:r>
        <w:rPr>
          <w:rFonts w:ascii="仿宋" w:hAnsi="仿宋" w:eastAsia="仿宋"/>
          <w:sz w:val="28"/>
          <w:szCs w:val="28"/>
        </w:rPr>
        <w:t>4.1</w:t>
      </w:r>
      <w:r>
        <w:rPr>
          <w:rFonts w:hint="eastAsia" w:ascii="仿宋" w:hAnsi="仿宋" w:eastAsia="仿宋"/>
          <w:sz w:val="28"/>
          <w:szCs w:val="28"/>
        </w:rPr>
        <w:t xml:space="preserve"> </w:t>
      </w:r>
      <w:r>
        <w:rPr>
          <w:rFonts w:hint="eastAsia" w:ascii="仿宋" w:hAnsi="仿宋" w:eastAsia="仿宋"/>
          <w:sz w:val="28"/>
          <w:szCs w:val="28"/>
          <w:lang w:eastAsia="zh-CN"/>
        </w:rPr>
        <w:t>本报告</w:t>
      </w:r>
      <w:r>
        <w:rPr>
          <w:rFonts w:hint="eastAsia" w:ascii="仿宋" w:hAnsi="仿宋" w:eastAsia="仿宋"/>
          <w:sz w:val="28"/>
          <w:szCs w:val="28"/>
        </w:rPr>
        <w:t>不代表免除。根据</w:t>
      </w:r>
      <w:r>
        <w:rPr>
          <w:rFonts w:ascii="仿宋" w:hAnsi="仿宋" w:eastAsia="仿宋"/>
          <w:sz w:val="28"/>
          <w:szCs w:val="28"/>
        </w:rPr>
        <w:t>MARPOL</w:t>
      </w:r>
      <w:r>
        <w:rPr>
          <w:rFonts w:hint="eastAsia" w:ascii="仿宋" w:hAnsi="仿宋" w:eastAsia="仿宋"/>
          <w:sz w:val="28"/>
          <w:szCs w:val="28"/>
        </w:rPr>
        <w:t>附则VI第</w:t>
      </w:r>
      <w:r>
        <w:rPr>
          <w:rFonts w:ascii="仿宋" w:hAnsi="仿宋" w:eastAsia="仿宋"/>
          <w:sz w:val="28"/>
          <w:szCs w:val="28"/>
        </w:rPr>
        <w:t>18.2</w:t>
      </w:r>
      <w:r>
        <w:rPr>
          <w:rFonts w:hint="eastAsia" w:ascii="仿宋" w:hAnsi="仿宋" w:eastAsia="仿宋"/>
          <w:sz w:val="28"/>
          <w:szCs w:val="28"/>
        </w:rPr>
        <w:t>条规定，目的港相关方有责任通过其主管当局审查提供的资料，并采取适当行动。</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jc w:val="both"/>
        <w:textAlignment w:val="auto"/>
        <w:outlineLvl w:val="9"/>
        <w:rPr>
          <w:rFonts w:ascii="仿宋" w:hAnsi="仿宋" w:eastAsia="仿宋"/>
          <w:sz w:val="28"/>
          <w:szCs w:val="28"/>
        </w:rPr>
      </w:pPr>
      <w:r>
        <w:rPr>
          <w:rFonts w:ascii="仿宋" w:hAnsi="仿宋" w:eastAsia="仿宋"/>
          <w:sz w:val="28"/>
          <w:szCs w:val="28"/>
        </w:rPr>
        <w:t>4.2</w:t>
      </w:r>
      <w:r>
        <w:rPr>
          <w:rFonts w:hint="eastAsia" w:ascii="仿宋" w:hAnsi="仿宋" w:eastAsia="仿宋"/>
          <w:sz w:val="28"/>
          <w:szCs w:val="28"/>
        </w:rPr>
        <w:t xml:space="preserve"> 如果出现不充分和</w:t>
      </w:r>
      <w:r>
        <w:rPr>
          <w:rFonts w:ascii="仿宋" w:hAnsi="仿宋" w:eastAsia="仿宋"/>
          <w:sz w:val="28"/>
          <w:szCs w:val="28"/>
        </w:rPr>
        <w:t>/</w:t>
      </w:r>
      <w:r>
        <w:rPr>
          <w:rFonts w:hint="eastAsia" w:ascii="仿宋" w:hAnsi="仿宋" w:eastAsia="仿宋"/>
          <w:sz w:val="28"/>
          <w:szCs w:val="28"/>
        </w:rPr>
        <w:t>或重复申请，缔约方可要求提供更多证明燃油不可获得的文件和证据。船方</w:t>
      </w:r>
      <w:r>
        <w:rPr>
          <w:rFonts w:ascii="仿宋" w:hAnsi="仿宋" w:eastAsia="仿宋"/>
          <w:sz w:val="28"/>
          <w:szCs w:val="28"/>
        </w:rPr>
        <w:t>/</w:t>
      </w:r>
      <w:r>
        <w:rPr>
          <w:rFonts w:hint="eastAsia" w:ascii="仿宋" w:hAnsi="仿宋" w:eastAsia="仿宋"/>
          <w:sz w:val="28"/>
          <w:szCs w:val="28"/>
        </w:rPr>
        <w:t>经营人在港期间也可能受到更详细地检查或审查。</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jc w:val="both"/>
        <w:textAlignment w:val="auto"/>
        <w:outlineLvl w:val="9"/>
        <w:rPr>
          <w:rFonts w:ascii="仿宋" w:hAnsi="仿宋" w:eastAsia="仿宋"/>
          <w:sz w:val="28"/>
          <w:szCs w:val="28"/>
        </w:rPr>
      </w:pPr>
      <w:r>
        <w:rPr>
          <w:rFonts w:ascii="仿宋" w:hAnsi="仿宋" w:eastAsia="仿宋"/>
          <w:sz w:val="28"/>
          <w:szCs w:val="28"/>
        </w:rPr>
        <w:t>4.3</w:t>
      </w:r>
      <w:r>
        <w:rPr>
          <w:rFonts w:hint="eastAsia" w:ascii="仿宋" w:hAnsi="仿宋" w:eastAsia="仿宋"/>
          <w:sz w:val="28"/>
          <w:szCs w:val="28"/>
        </w:rPr>
        <w:t xml:space="preserve"> 船方</w:t>
      </w:r>
      <w:r>
        <w:rPr>
          <w:rFonts w:ascii="仿宋" w:hAnsi="仿宋" w:eastAsia="仿宋"/>
          <w:sz w:val="28"/>
          <w:szCs w:val="28"/>
        </w:rPr>
        <w:t>/</w:t>
      </w:r>
      <w:r>
        <w:rPr>
          <w:rFonts w:hint="eastAsia" w:ascii="仿宋" w:hAnsi="仿宋" w:eastAsia="仿宋"/>
          <w:sz w:val="28"/>
          <w:szCs w:val="28"/>
        </w:rPr>
        <w:t>经营人在计划加装燃油时，应考虑码头、港口的物流条件及相关政策，包括但不限于为了获得合规燃油在港口或码头内更换泊位或者锚位。</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jc w:val="both"/>
        <w:textAlignment w:val="auto"/>
        <w:outlineLvl w:val="9"/>
        <w:rPr>
          <w:rFonts w:ascii="仿宋" w:hAnsi="仿宋" w:eastAsia="仿宋"/>
          <w:sz w:val="28"/>
          <w:szCs w:val="28"/>
        </w:rPr>
      </w:pPr>
      <w:r>
        <w:rPr>
          <w:rFonts w:ascii="仿宋" w:hAnsi="仿宋" w:eastAsia="仿宋"/>
          <w:sz w:val="28"/>
          <w:szCs w:val="28"/>
        </w:rPr>
        <w:t>4.4</w:t>
      </w:r>
      <w:r>
        <w:rPr>
          <w:rFonts w:hint="eastAsia" w:ascii="仿宋" w:hAnsi="仿宋" w:eastAsia="仿宋"/>
          <w:sz w:val="28"/>
          <w:szCs w:val="28"/>
        </w:rPr>
        <w:t xml:space="preserve"> 船方</w:t>
      </w:r>
      <w:r>
        <w:rPr>
          <w:rFonts w:ascii="仿宋" w:hAnsi="仿宋" w:eastAsia="仿宋"/>
          <w:sz w:val="28"/>
          <w:szCs w:val="28"/>
        </w:rPr>
        <w:t>/</w:t>
      </w:r>
      <w:r>
        <w:rPr>
          <w:rFonts w:hint="eastAsia" w:ascii="仿宋" w:hAnsi="仿宋" w:eastAsia="仿宋"/>
          <w:sz w:val="28"/>
          <w:szCs w:val="28"/>
        </w:rPr>
        <w:t>经营人应尽可能合理地准备，包括但不限于规定内不同粘度和不同硫含量的燃油所需的不同类型润滑油，以及加热和其他处理设备，以便船舶能够使用合规燃油。</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jc w:val="both"/>
        <w:textAlignment w:val="auto"/>
        <w:outlineLvl w:val="9"/>
        <w:rPr>
          <w:rFonts w:hint="eastAsia" w:ascii="仿宋" w:hAnsi="仿宋" w:eastAsia="仿宋"/>
          <w:sz w:val="28"/>
          <w:szCs w:val="28"/>
        </w:rPr>
      </w:pP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jc w:val="both"/>
        <w:textAlignment w:val="auto"/>
        <w:outlineLvl w:val="9"/>
        <w:rPr>
          <w:rFonts w:ascii="仿宋" w:hAnsi="仿宋" w:eastAsia="仿宋"/>
          <w:b/>
          <w:bCs/>
          <w:sz w:val="28"/>
          <w:szCs w:val="28"/>
        </w:rPr>
      </w:pPr>
      <w:r>
        <w:rPr>
          <w:rFonts w:ascii="仿宋" w:hAnsi="仿宋" w:eastAsia="仿宋"/>
          <w:b/>
          <w:bCs/>
          <w:sz w:val="28"/>
          <w:szCs w:val="28"/>
        </w:rPr>
        <w:t xml:space="preserve">1 </w:t>
      </w:r>
      <w:r>
        <w:rPr>
          <w:rFonts w:hint="eastAsia" w:ascii="仿宋" w:hAnsi="仿宋" w:eastAsia="仿宋"/>
          <w:b/>
          <w:bCs/>
          <w:sz w:val="28"/>
          <w:szCs w:val="28"/>
        </w:rPr>
        <w:t>船舶明细</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sz w:val="28"/>
          <w:szCs w:val="28"/>
        </w:rPr>
        <w:t>1.1 船名：</w:t>
      </w:r>
      <w:r>
        <w:rPr>
          <w:rFonts w:hint="eastAsia" w:ascii="仿宋" w:hAnsi="仿宋" w:eastAsia="仿宋"/>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sz w:val="28"/>
          <w:szCs w:val="28"/>
        </w:rPr>
        <w:t>1.2 IMO 编号：</w:t>
      </w:r>
      <w:r>
        <w:rPr>
          <w:rFonts w:hint="eastAsia" w:ascii="仿宋" w:hAnsi="仿宋" w:eastAsia="仿宋"/>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sz w:val="28"/>
          <w:szCs w:val="28"/>
        </w:rPr>
        <w:t>1.3 船旗国：</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u w:val="single"/>
        </w:rPr>
        <w:t xml:space="preserve">                             </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rPr>
      </w:pPr>
      <w:r>
        <w:rPr>
          <w:rFonts w:hint="eastAsia" w:ascii="仿宋" w:hAnsi="仿宋" w:eastAsia="仿宋"/>
          <w:sz w:val="28"/>
          <w:szCs w:val="28"/>
        </w:rPr>
        <w:t>1.4（</w:t>
      </w:r>
      <w:r>
        <w:rPr>
          <w:rFonts w:hint="eastAsia" w:ascii="仿宋" w:hAnsi="仿宋" w:eastAsia="仿宋" w:cs="Arial"/>
          <w:bCs/>
          <w:sz w:val="28"/>
          <w:szCs w:val="28"/>
        </w:rPr>
        <w:t>如有其他相关登记号码，请在此填写</w:t>
      </w:r>
      <w:r>
        <w:rPr>
          <w:rFonts w:hint="eastAsia" w:ascii="仿宋" w:hAnsi="仿宋" w:eastAsia="仿宋"/>
          <w:sz w:val="28"/>
          <w:szCs w:val="28"/>
        </w:rPr>
        <w:t>）</w:t>
      </w:r>
      <w:r>
        <w:rPr>
          <w:rFonts w:hint="eastAsia" w:ascii="仿宋" w:hAnsi="仿宋" w:eastAsia="仿宋"/>
          <w:color w:val="000000"/>
          <w:sz w:val="28"/>
          <w:szCs w:val="28"/>
        </w:rPr>
        <w:t>：</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u w:val="single"/>
        </w:rPr>
        <w:t xml:space="preserve">                      </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u w:val="single"/>
        </w:rPr>
        <w:t xml:space="preserve">                                        </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jc w:val="both"/>
        <w:textAlignment w:val="auto"/>
        <w:outlineLvl w:val="9"/>
        <w:rPr>
          <w:rFonts w:ascii="仿宋" w:hAnsi="仿宋" w:eastAsia="仿宋"/>
          <w:b/>
          <w:bCs/>
          <w:color w:val="000000"/>
          <w:sz w:val="28"/>
          <w:szCs w:val="28"/>
        </w:rPr>
      </w:pPr>
      <w:r>
        <w:rPr>
          <w:rFonts w:hint="eastAsia" w:ascii="仿宋" w:hAnsi="仿宋" w:eastAsia="仿宋"/>
          <w:b/>
          <w:bCs/>
          <w:color w:val="000000"/>
          <w:sz w:val="28"/>
          <w:szCs w:val="28"/>
        </w:rPr>
        <w:t xml:space="preserve"> 2 航次计划</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s="Arial"/>
          <w:sz w:val="28"/>
          <w:szCs w:val="28"/>
        </w:rPr>
      </w:pPr>
      <w:r>
        <w:rPr>
          <w:rFonts w:hint="eastAsia" w:ascii="仿宋" w:hAnsi="仿宋" w:eastAsia="仿宋"/>
          <w:sz w:val="28"/>
          <w:szCs w:val="28"/>
        </w:rPr>
        <w:t xml:space="preserve">2.1 </w:t>
      </w:r>
      <w:r>
        <w:rPr>
          <w:rFonts w:hint="eastAsia" w:ascii="仿宋" w:hAnsi="仿宋" w:eastAsia="仿宋" w:cs="Arial"/>
          <w:sz w:val="28"/>
          <w:szCs w:val="28"/>
        </w:rPr>
        <w:t>提供船舶进入</w:t>
      </w:r>
      <w:r>
        <w:rPr>
          <w:rFonts w:ascii="仿宋" w:hAnsi="仿宋" w:eastAsia="仿宋" w:cs="Arial"/>
          <w:sz w:val="28"/>
          <w:szCs w:val="28"/>
        </w:rPr>
        <w:t>“X</w:t>
      </w:r>
      <w:r>
        <w:rPr>
          <w:rFonts w:hint="eastAsia" w:ascii="仿宋" w:hAnsi="仿宋" w:eastAsia="仿宋" w:cs="Arial"/>
          <w:sz w:val="28"/>
          <w:szCs w:val="28"/>
        </w:rPr>
        <w:t>国</w:t>
      </w:r>
      <w:r>
        <w:rPr>
          <w:rFonts w:ascii="仿宋" w:hAnsi="仿宋" w:eastAsia="仿宋" w:cs="Arial"/>
          <w:sz w:val="28"/>
          <w:szCs w:val="28"/>
        </w:rPr>
        <w:t>”</w:t>
      </w:r>
      <w:r>
        <w:rPr>
          <w:rFonts w:hint="eastAsia" w:ascii="仿宋" w:hAnsi="仿宋" w:eastAsia="仿宋" w:cs="Arial"/>
          <w:sz w:val="28"/>
          <w:szCs w:val="28"/>
        </w:rPr>
        <w:t>水域（船舶排放控制区，如适用）时的航次计划</w:t>
      </w:r>
      <w:r>
        <w:rPr>
          <w:rFonts w:ascii="仿宋" w:hAnsi="仿宋" w:eastAsia="仿宋" w:cs="Arial"/>
          <w:sz w:val="28"/>
          <w:szCs w:val="28"/>
        </w:rPr>
        <w:t xml:space="preserve"> (</w:t>
      </w:r>
      <w:r>
        <w:rPr>
          <w:rFonts w:hint="eastAsia" w:ascii="仿宋" w:hAnsi="仿宋" w:eastAsia="仿宋" w:cs="Arial"/>
          <w:sz w:val="28"/>
          <w:szCs w:val="28"/>
        </w:rPr>
        <w:t>请附上计划副本，如有</w:t>
      </w:r>
      <w:r>
        <w:rPr>
          <w:rFonts w:ascii="仿宋" w:hAnsi="仿宋" w:eastAsia="仿宋" w:cs="Arial"/>
          <w:sz w:val="28"/>
          <w:szCs w:val="28"/>
        </w:rPr>
        <w:t>)</w:t>
      </w:r>
      <w:r>
        <w:rPr>
          <w:rFonts w:hint="eastAsia" w:ascii="仿宋" w:hAnsi="仿宋" w:eastAsia="仿宋" w:cs="Arial"/>
          <w:sz w:val="28"/>
          <w:szCs w:val="28"/>
        </w:rPr>
        <w:t>：</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u w:val="single"/>
        </w:rPr>
        <w:t xml:space="preserve">                                                                </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s="Arial"/>
          <w:sz w:val="28"/>
          <w:szCs w:val="28"/>
        </w:rPr>
      </w:pPr>
      <w:r>
        <w:rPr>
          <w:rFonts w:ascii="仿宋" w:hAnsi="仿宋" w:eastAsia="仿宋" w:cs="Arial"/>
          <w:sz w:val="28"/>
          <w:szCs w:val="28"/>
        </w:rPr>
        <w:t xml:space="preserve">2.2 </w:t>
      </w:r>
      <w:r>
        <w:rPr>
          <w:rFonts w:hint="eastAsia" w:ascii="仿宋" w:hAnsi="仿宋" w:eastAsia="仿宋" w:cs="Arial"/>
          <w:sz w:val="28"/>
          <w:szCs w:val="28"/>
        </w:rPr>
        <w:t>航次详情</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s="Arial"/>
          <w:sz w:val="28"/>
          <w:szCs w:val="28"/>
        </w:rPr>
      </w:pPr>
      <w:r>
        <w:rPr>
          <w:rFonts w:ascii="仿宋" w:hAnsi="仿宋" w:eastAsia="仿宋" w:cs="Arial"/>
          <w:sz w:val="28"/>
          <w:szCs w:val="28"/>
        </w:rPr>
        <w:t>1.</w:t>
      </w:r>
      <w:r>
        <w:rPr>
          <w:rFonts w:hint="eastAsia" w:ascii="仿宋" w:hAnsi="仿宋" w:eastAsia="仿宋" w:cs="Arial"/>
          <w:sz w:val="28"/>
          <w:szCs w:val="28"/>
        </w:rPr>
        <w:t xml:space="preserve"> 上一港</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u w:val="single"/>
        </w:rPr>
        <w:t xml:space="preserve">                                </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u w:val="single"/>
        </w:rPr>
        <w:t xml:space="preserve">                           </w:t>
      </w:r>
    </w:p>
    <w:p>
      <w:pPr>
        <w:keepNext w:val="0"/>
        <w:keepLines w:val="0"/>
        <w:pageBreakBefore w:val="0"/>
        <w:widowControl w:val="0"/>
        <w:numPr>
          <w:ilvl w:val="0"/>
          <w:numId w:val="1"/>
        </w:numPr>
        <w:kinsoku/>
        <w:wordWrap/>
        <w:overflowPunct/>
        <w:topLinePunct w:val="0"/>
        <w:bidi w:val="0"/>
        <w:adjustRightInd/>
        <w:snapToGrid/>
        <w:spacing w:before="0" w:beforeLines="0" w:after="0" w:afterLines="0" w:line="240" w:lineRule="auto"/>
        <w:ind w:left="0" w:leftChars="0" w:right="0" w:rightChars="0" w:firstLine="0" w:firstLineChars="0"/>
        <w:jc w:val="both"/>
        <w:textAlignment w:val="auto"/>
        <w:outlineLvl w:val="9"/>
        <w:rPr>
          <w:rFonts w:ascii="仿宋" w:hAnsi="仿宋" w:eastAsia="仿宋" w:cs="Arial"/>
          <w:sz w:val="28"/>
          <w:szCs w:val="28"/>
        </w:rPr>
      </w:pPr>
      <w:r>
        <w:rPr>
          <w:rFonts w:hint="eastAsia" w:ascii="仿宋" w:hAnsi="仿宋" w:eastAsia="仿宋" w:cs="Arial"/>
          <w:sz w:val="28"/>
          <w:szCs w:val="28"/>
        </w:rPr>
        <w:t>到达“</w:t>
      </w:r>
      <w:r>
        <w:rPr>
          <w:rFonts w:ascii="仿宋" w:hAnsi="仿宋" w:eastAsia="仿宋" w:cs="Arial"/>
          <w:sz w:val="28"/>
          <w:szCs w:val="28"/>
        </w:rPr>
        <w:t>X</w:t>
      </w:r>
      <w:r>
        <w:rPr>
          <w:rFonts w:hint="eastAsia" w:ascii="仿宋" w:hAnsi="仿宋" w:eastAsia="仿宋" w:cs="Arial"/>
          <w:sz w:val="28"/>
          <w:szCs w:val="28"/>
        </w:rPr>
        <w:t>国”的第一港</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u w:val="single"/>
        </w:rPr>
        <w:t xml:space="preserve">                                                                </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0" w:beforeLines="0" w:after="0" w:afterLines="0" w:line="240" w:lineRule="auto"/>
        <w:ind w:left="0" w:leftChars="0" w:right="0" w:rightChars="0" w:firstLine="0" w:firstLineChars="0"/>
        <w:jc w:val="both"/>
        <w:textAlignment w:val="auto"/>
        <w:outlineLvl w:val="9"/>
        <w:rPr>
          <w:rFonts w:ascii="仿宋" w:hAnsi="仿宋" w:eastAsia="仿宋"/>
          <w:sz w:val="28"/>
          <w:szCs w:val="28"/>
        </w:rPr>
      </w:pPr>
      <w:r>
        <w:rPr>
          <w:rFonts w:hint="eastAsia" w:ascii="仿宋" w:hAnsi="仿宋" w:eastAsia="仿宋"/>
          <w:sz w:val="28"/>
          <w:szCs w:val="28"/>
        </w:rPr>
        <w:t>离开上一港日期（年/月/日）</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u w:val="single"/>
        </w:rPr>
        <w:t xml:space="preserve">                                                                </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0" w:beforeLines="0" w:after="0" w:afterLines="0" w:line="240" w:lineRule="auto"/>
        <w:ind w:left="0" w:leftChars="0" w:right="0" w:rightChars="0" w:firstLine="0" w:firstLineChars="0"/>
        <w:jc w:val="both"/>
        <w:textAlignment w:val="auto"/>
        <w:outlineLvl w:val="9"/>
        <w:rPr>
          <w:rFonts w:ascii="仿宋" w:hAnsi="仿宋" w:eastAsia="仿宋"/>
          <w:sz w:val="28"/>
          <w:szCs w:val="28"/>
        </w:rPr>
      </w:pPr>
      <w:r>
        <w:rPr>
          <w:rFonts w:hint="eastAsia" w:ascii="仿宋" w:hAnsi="仿宋" w:eastAsia="仿宋" w:cs="Arial"/>
          <w:sz w:val="28"/>
          <w:szCs w:val="28"/>
        </w:rPr>
        <w:t>到达“</w:t>
      </w:r>
      <w:r>
        <w:rPr>
          <w:rFonts w:ascii="仿宋" w:hAnsi="仿宋" w:eastAsia="仿宋" w:cs="Arial"/>
          <w:sz w:val="28"/>
          <w:szCs w:val="28"/>
        </w:rPr>
        <w:t>X</w:t>
      </w:r>
      <w:r>
        <w:rPr>
          <w:rFonts w:hint="eastAsia" w:ascii="仿宋" w:hAnsi="仿宋" w:eastAsia="仿宋" w:cs="Arial"/>
          <w:sz w:val="28"/>
          <w:szCs w:val="28"/>
        </w:rPr>
        <w:t>国”的第一港日期</w:t>
      </w:r>
      <w:r>
        <w:rPr>
          <w:rFonts w:hint="eastAsia" w:ascii="仿宋" w:hAnsi="仿宋" w:eastAsia="仿宋"/>
          <w:sz w:val="28"/>
          <w:szCs w:val="28"/>
        </w:rPr>
        <w:t>（年/月/日）</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u w:val="single"/>
        </w:rPr>
        <w:t xml:space="preserve">                                         </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u w:val="single"/>
        </w:rPr>
        <w:t xml:space="preserve">               </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0" w:beforeLines="0" w:after="0" w:afterLines="0" w:line="240" w:lineRule="auto"/>
        <w:ind w:left="0" w:leftChars="0" w:right="0" w:rightChars="0" w:firstLine="0" w:firstLineChars="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船舶首次接到通知将通过“X国”水域（船舶排放控制区，如适用）日期（年/月/日）</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u w:val="single"/>
        </w:rPr>
        <w:t xml:space="preserve">                                  </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u w:val="single"/>
        </w:rPr>
        <w:t xml:space="preserve">                      </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0" w:beforeLines="0" w:after="0" w:afterLines="0" w:line="240" w:lineRule="auto"/>
        <w:ind w:left="0" w:leftChars="0" w:right="0" w:rightChars="0" w:firstLine="0" w:firstLineChars="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接到上述通知时的船位信息</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u w:val="single"/>
        </w:rPr>
        <w:t xml:space="preserve">                                   </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u w:val="single"/>
        </w:rPr>
        <w:t xml:space="preserve">                        </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0" w:beforeLines="0" w:after="0" w:afterLines="0" w:line="240" w:lineRule="auto"/>
        <w:ind w:left="0" w:leftChars="0" w:right="0" w:rightChars="0" w:firstLine="0" w:firstLineChars="0"/>
        <w:jc w:val="both"/>
        <w:textAlignment w:val="auto"/>
        <w:outlineLvl w:val="9"/>
        <w:rPr>
          <w:rFonts w:ascii="仿宋" w:hAnsi="仿宋" w:eastAsia="仿宋"/>
          <w:color w:val="000000"/>
          <w:spacing w:val="-2"/>
          <w:sz w:val="28"/>
          <w:szCs w:val="28"/>
        </w:rPr>
      </w:pPr>
      <w:r>
        <w:rPr>
          <w:rFonts w:hint="eastAsia" w:ascii="仿宋" w:hAnsi="仿宋" w:eastAsia="仿宋"/>
          <w:color w:val="000000"/>
          <w:spacing w:val="-2"/>
          <w:sz w:val="28"/>
          <w:szCs w:val="28"/>
        </w:rPr>
        <w:t>船舶经营人预计船舶进入 “X国”水域（船舶排放控制区，如适用）日期（年/月/日）</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u w:val="single"/>
        </w:rPr>
        <w:t xml:space="preserve">                                    </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u w:val="single"/>
        </w:rPr>
        <w:t xml:space="preserve">                       </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0" w:beforeLines="0" w:after="0" w:afterLines="0" w:line="240" w:lineRule="auto"/>
        <w:ind w:left="0" w:leftChars="0" w:right="0" w:rightChars="0" w:firstLine="0" w:firstLineChars="0"/>
        <w:jc w:val="both"/>
        <w:textAlignment w:val="auto"/>
        <w:outlineLvl w:val="9"/>
        <w:rPr>
          <w:rFonts w:ascii="仿宋" w:hAnsi="仿宋" w:eastAsia="仿宋"/>
          <w:color w:val="000000"/>
          <w:spacing w:val="-2"/>
          <w:sz w:val="28"/>
          <w:szCs w:val="28"/>
        </w:rPr>
      </w:pPr>
      <w:r>
        <w:rPr>
          <w:rFonts w:hint="eastAsia" w:ascii="仿宋" w:hAnsi="仿宋" w:eastAsia="仿宋"/>
          <w:color w:val="000000"/>
          <w:spacing w:val="-2"/>
          <w:sz w:val="28"/>
          <w:szCs w:val="28"/>
        </w:rPr>
        <w:t>船舶经营人预计船舶进入 “X国”水域（船舶排放控制区，如适用）时间（世界时/时/分）</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u w:val="single"/>
        </w:rPr>
        <w:t xml:space="preserve">                                        </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u w:val="single"/>
        </w:rPr>
        <w:t xml:space="preserve">                   </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0" w:beforeLines="0" w:after="0" w:afterLines="0" w:line="240" w:lineRule="auto"/>
        <w:ind w:left="0" w:leftChars="0" w:right="0" w:rightChars="0" w:firstLine="0" w:firstLineChars="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船舶经营人预计船舶离开“X国”水域（船舶排放控制区，如适用）日期（年/月/日）</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u w:val="single"/>
        </w:rPr>
        <w:t xml:space="preserve">                                </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u w:val="single"/>
        </w:rPr>
        <w:t xml:space="preserve">                            </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0" w:beforeLines="0" w:after="0" w:afterLines="0" w:line="240" w:lineRule="auto"/>
        <w:ind w:left="0" w:leftChars="0" w:right="0" w:rightChars="0" w:firstLine="0" w:firstLineChars="0"/>
        <w:jc w:val="both"/>
        <w:textAlignment w:val="auto"/>
        <w:outlineLvl w:val="9"/>
        <w:rPr>
          <w:rFonts w:ascii="仿宋" w:hAnsi="仿宋" w:eastAsia="仿宋"/>
          <w:color w:val="000000"/>
          <w:spacing w:val="-2"/>
          <w:sz w:val="28"/>
          <w:szCs w:val="28"/>
        </w:rPr>
      </w:pPr>
      <w:r>
        <w:rPr>
          <w:rFonts w:hint="eastAsia" w:ascii="仿宋" w:hAnsi="仿宋" w:eastAsia="仿宋"/>
          <w:color w:val="000000"/>
          <w:spacing w:val="-2"/>
          <w:sz w:val="28"/>
          <w:szCs w:val="28"/>
        </w:rPr>
        <w:t>船舶经营人预计船舶离开“X国”水域（船舶排放控制区，如适用）时间（世界时/时/分）</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u w:val="single"/>
        </w:rPr>
        <w:t xml:space="preserve">                                                              </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0" w:beforeLines="0" w:after="0" w:afterLines="0" w:line="240" w:lineRule="auto"/>
        <w:ind w:left="0" w:leftChars="0" w:right="0" w:rightChars="0" w:firstLine="0" w:firstLineChars="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船舶主机在X国水域内（船舶排放控制区，如适用）预计运行天数</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 xml:space="preserve">12. </w:t>
      </w:r>
      <w:r>
        <w:rPr>
          <w:rFonts w:hint="eastAsia" w:ascii="仿宋" w:hAnsi="仿宋" w:eastAsia="仿宋"/>
          <w:color w:val="000000"/>
          <w:spacing w:val="-2"/>
          <w:sz w:val="28"/>
          <w:szCs w:val="28"/>
        </w:rPr>
        <w:t>进入“X国”水域（排放控制区，如适用）及在该水域作业时所使用的燃油的硫含量：</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u w:val="single"/>
        </w:rPr>
        <w:t xml:space="preserve">                   </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s="Arial"/>
          <w:sz w:val="28"/>
          <w:szCs w:val="28"/>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s="Arial"/>
          <w:sz w:val="28"/>
          <w:szCs w:val="28"/>
        </w:rPr>
      </w:pPr>
      <w:r>
        <w:rPr>
          <w:rFonts w:ascii="仿宋" w:hAnsi="仿宋" w:eastAsia="仿宋" w:cs="Arial"/>
          <w:sz w:val="28"/>
          <w:szCs w:val="28"/>
        </w:rPr>
        <w:t xml:space="preserve">3. </w:t>
      </w:r>
      <w:r>
        <w:rPr>
          <w:rFonts w:hint="eastAsia" w:ascii="仿宋" w:hAnsi="仿宋" w:eastAsia="仿宋" w:cs="Arial"/>
          <w:sz w:val="28"/>
          <w:szCs w:val="28"/>
        </w:rPr>
        <w:t>试图购买合规燃油的证明</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rPr>
      </w:pPr>
      <w:r>
        <w:rPr>
          <w:rFonts w:ascii="仿宋" w:hAnsi="仿宋" w:eastAsia="仿宋" w:cs="Arial"/>
          <w:sz w:val="28"/>
          <w:szCs w:val="28"/>
        </w:rPr>
        <w:t xml:space="preserve">3.1 </w:t>
      </w:r>
      <w:r>
        <w:rPr>
          <w:rFonts w:hint="eastAsia" w:ascii="仿宋" w:hAnsi="仿宋" w:eastAsia="仿宋" w:cs="Arial"/>
          <w:sz w:val="28"/>
          <w:szCs w:val="28"/>
        </w:rPr>
        <w:t>提供</w:t>
      </w:r>
      <w:r>
        <w:rPr>
          <w:rFonts w:hint="eastAsia" w:ascii="仿宋" w:hAnsi="仿宋" w:eastAsia="仿宋"/>
          <w:color w:val="000000"/>
          <w:sz w:val="28"/>
          <w:szCs w:val="28"/>
        </w:rPr>
        <w:t>在进入“X国”水域（船舶排放控制区，如适用）前为获得合规燃油采取的措施描述，包括寻找合规燃油</w:t>
      </w:r>
      <w:r>
        <w:rPr>
          <w:rFonts w:hint="eastAsia" w:ascii="仿宋" w:hAnsi="仿宋" w:eastAsia="仿宋"/>
          <w:sz w:val="28"/>
          <w:szCs w:val="28"/>
        </w:rPr>
        <w:t>替代来源的所</w:t>
      </w:r>
      <w:r>
        <w:rPr>
          <w:rFonts w:hint="eastAsia" w:ascii="仿宋" w:hAnsi="仿宋" w:eastAsia="仿宋"/>
          <w:color w:val="000000"/>
          <w:sz w:val="28"/>
          <w:szCs w:val="28"/>
        </w:rPr>
        <w:t>有尝试，以及未能获得合规燃油的原因说明：</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3.2 供应商的名称、邮箱、地址、电话和联络时间（年/月/日）</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请附上与供应商联络的文件副本（例：邮件往来记录）</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 xml:space="preserve">4. </w:t>
      </w:r>
      <w:r>
        <w:rPr>
          <w:rFonts w:hint="eastAsia" w:ascii="仿宋" w:hAnsi="仿宋" w:eastAsia="仿宋"/>
          <w:b/>
          <w:bCs/>
          <w:color w:val="000000"/>
          <w:sz w:val="28"/>
          <w:szCs w:val="28"/>
        </w:rPr>
        <w:t>仅适用于燃油供应中断</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4.1 船舶计划加装合格燃油的港口名称</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4.2 原定供应商名称，邮箱和电话号码（临时无法提供合规燃油）：</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b/>
          <w:bCs/>
          <w:color w:val="000000"/>
          <w:sz w:val="28"/>
          <w:szCs w:val="28"/>
        </w:rPr>
      </w:pPr>
      <w:r>
        <w:rPr>
          <w:rFonts w:hint="eastAsia" w:ascii="仿宋" w:hAnsi="仿宋" w:eastAsia="仿宋"/>
          <w:b/>
          <w:bCs/>
          <w:color w:val="000000"/>
          <w:sz w:val="28"/>
          <w:szCs w:val="28"/>
        </w:rPr>
        <w:t>5. 操作限制（如适用）</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s="Arial"/>
          <w:color w:val="333333"/>
          <w:sz w:val="28"/>
          <w:szCs w:val="28"/>
        </w:rPr>
      </w:pPr>
      <w:r>
        <w:rPr>
          <w:rFonts w:hint="eastAsia" w:ascii="仿宋" w:hAnsi="仿宋" w:eastAsia="仿宋"/>
          <w:bCs/>
          <w:color w:val="000000"/>
          <w:sz w:val="28"/>
          <w:szCs w:val="28"/>
        </w:rPr>
        <w:t>5.1 如因考虑到可用的合规燃油可能会引起船舶操纵或安全问题而加装不合规燃油，</w:t>
      </w:r>
      <w:r>
        <w:rPr>
          <w:rFonts w:hint="eastAsia" w:ascii="仿宋" w:hAnsi="仿宋" w:eastAsia="仿宋" w:cs="Arial"/>
          <w:sz w:val="28"/>
          <w:szCs w:val="28"/>
        </w:rPr>
        <w:t>由此引起的相应顾虑应完整记录</w:t>
      </w:r>
      <w:r>
        <w:rPr>
          <w:rFonts w:hint="eastAsia" w:ascii="仿宋" w:hAnsi="仿宋" w:eastAsia="仿宋" w:cs="Arial"/>
          <w:color w:val="333333"/>
          <w:sz w:val="28"/>
          <w:szCs w:val="28"/>
        </w:rPr>
        <w:t>。</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bCs/>
          <w:color w:val="000000"/>
          <w:sz w:val="28"/>
          <w:szCs w:val="28"/>
        </w:rPr>
      </w:pPr>
      <w:r>
        <w:rPr>
          <w:rFonts w:hint="eastAsia" w:ascii="仿宋" w:hAnsi="仿宋" w:eastAsia="仿宋" w:cs="Arial"/>
          <w:color w:val="333333"/>
          <w:sz w:val="28"/>
          <w:szCs w:val="28"/>
        </w:rPr>
        <w:t>5.2 描述所有妨碍在使用合规燃油的操作限制：</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5.3 列举已采取，或将要采取的以解决操作限制的详细步骤：</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b/>
          <w:bCs/>
          <w:color w:val="000000"/>
          <w:sz w:val="28"/>
          <w:szCs w:val="28"/>
        </w:rPr>
      </w:pPr>
      <w:r>
        <w:rPr>
          <w:rFonts w:hint="eastAsia" w:ascii="仿宋" w:hAnsi="仿宋" w:eastAsia="仿宋"/>
          <w:b/>
          <w:bCs/>
          <w:color w:val="000000"/>
          <w:sz w:val="28"/>
          <w:szCs w:val="28"/>
        </w:rPr>
        <w:t>6. 获取合规燃油的计划</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6.1 描述在“X国”的第一个停靠港是否有合规燃油供应和计划获取方式:</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rPr>
        <w:t xml:space="preserve"> </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u w:val="single"/>
          <w:lang w:val="en-US" w:eastAsia="zh-CN"/>
        </w:rPr>
        <w:t xml:space="preserve"> </w:t>
      </w:r>
      <w:r>
        <w:rPr>
          <w:rFonts w:hint="eastAsia" w:ascii="仿宋" w:hAnsi="仿宋" w:eastAsia="仿宋"/>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6.2 如在“X国”的第一个停靠港没有合规燃油，请列出该港可用燃油的最低硫含量或下一港可用燃油的最低硫含量:</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b/>
          <w:bCs/>
          <w:color w:val="000000"/>
          <w:sz w:val="28"/>
          <w:szCs w:val="28"/>
        </w:rPr>
      </w:pPr>
      <w:r>
        <w:rPr>
          <w:rFonts w:hint="eastAsia" w:ascii="仿宋" w:hAnsi="仿宋" w:eastAsia="仿宋"/>
          <w:b/>
          <w:bCs/>
          <w:color w:val="000000"/>
          <w:sz w:val="28"/>
          <w:szCs w:val="28"/>
        </w:rPr>
        <w:t>7. 之前燃油的不可获取报告</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7.1 如船舶/经营人在过去12个月之内曾向“X国”提交燃油不可获得报告，请列明先前提交的报告单编号，并提供使用不合规燃油的时间及到港详情，如下所示:</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rPr>
      </w:pPr>
      <w:r>
        <w:rPr>
          <w:rFonts w:hint="eastAsia" w:ascii="仿宋" w:hAnsi="仿宋" w:eastAsia="仿宋"/>
          <w:color w:val="000000"/>
          <w:sz w:val="28"/>
          <w:szCs w:val="28"/>
        </w:rPr>
        <w:t>报告：</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rPr>
        <w:t>日期（年/月/日）：</w:t>
      </w:r>
      <w:r>
        <w:rPr>
          <w:rFonts w:hint="eastAsia" w:ascii="仿宋" w:hAnsi="仿宋" w:eastAsia="仿宋"/>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rPr>
        <w:t>港口：</w:t>
      </w:r>
      <w:r>
        <w:rPr>
          <w:rFonts w:hint="eastAsia" w:ascii="仿宋" w:hAnsi="仿宋" w:eastAsia="仿宋"/>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rPr>
        <w:t>燃油类型：</w:t>
      </w:r>
      <w:r>
        <w:rPr>
          <w:rFonts w:hint="eastAsia" w:ascii="仿宋" w:hAnsi="仿宋" w:eastAsia="仿宋"/>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rPr>
        <w:t>备注</w:t>
      </w:r>
      <w:r>
        <w:rPr>
          <w:rFonts w:hint="eastAsia" w:ascii="仿宋" w:hAnsi="仿宋" w:eastAsia="仿宋"/>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b/>
          <w:bCs/>
          <w:color w:val="000000"/>
          <w:sz w:val="28"/>
          <w:szCs w:val="28"/>
        </w:rPr>
      </w:pPr>
      <w:r>
        <w:rPr>
          <w:rFonts w:hint="eastAsia" w:ascii="仿宋" w:hAnsi="仿宋" w:eastAsia="仿宋"/>
          <w:b/>
          <w:bCs/>
          <w:color w:val="000000"/>
          <w:sz w:val="28"/>
          <w:szCs w:val="28"/>
        </w:rPr>
        <w:t>8 船长/公司信息</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rPr>
        <w:t>船长姓名：</w:t>
      </w:r>
      <w:r>
        <w:rPr>
          <w:rFonts w:hint="eastAsia" w:ascii="仿宋" w:hAnsi="仿宋" w:eastAsia="仿宋"/>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rPr>
        <w:t xml:space="preserve"> “X国”代理名称：</w:t>
      </w:r>
      <w:r>
        <w:rPr>
          <w:rFonts w:hint="eastAsia" w:ascii="仿宋" w:hAnsi="仿宋" w:eastAsia="仿宋"/>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rPr>
        <w:t>船舶经营人名称：</w:t>
      </w:r>
      <w:r>
        <w:rPr>
          <w:rFonts w:hint="eastAsia" w:ascii="仿宋" w:hAnsi="仿宋" w:eastAsia="仿宋"/>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rPr>
        <w:t>船东名称：</w:t>
      </w:r>
      <w:r>
        <w:rPr>
          <w:rFonts w:hint="eastAsia" w:ascii="仿宋" w:hAnsi="仿宋" w:eastAsia="仿宋"/>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sz w:val="28"/>
          <w:szCs w:val="28"/>
        </w:rPr>
        <w:t xml:space="preserve">官员姓名和职位：   </w:t>
      </w:r>
      <w:r>
        <w:rPr>
          <w:rFonts w:hint="eastAsia" w:ascii="仿宋" w:hAnsi="仿宋" w:eastAsia="仿宋"/>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rPr>
        <w:t>邮箱：</w:t>
      </w:r>
      <w:r>
        <w:rPr>
          <w:rFonts w:hint="eastAsia" w:ascii="仿宋" w:hAnsi="仿宋" w:eastAsia="仿宋"/>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rPr>
        <w:t>地址（街道，城市，国家，邮编）：</w:t>
      </w:r>
      <w:r>
        <w:rPr>
          <w:rFonts w:hint="eastAsia" w:ascii="仿宋" w:hAnsi="仿宋" w:eastAsia="仿宋"/>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rPr>
        <w:t>电话号码：</w:t>
      </w:r>
      <w:r>
        <w:rPr>
          <w:rFonts w:hint="eastAsia" w:ascii="仿宋" w:hAnsi="仿宋" w:eastAsia="仿宋"/>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rPr>
        <w:t>船长签名：</w:t>
      </w:r>
      <w:r>
        <w:rPr>
          <w:rFonts w:hint="eastAsia" w:ascii="仿宋" w:hAnsi="仿宋" w:eastAsia="仿宋"/>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sz w:val="28"/>
          <w:szCs w:val="28"/>
        </w:rPr>
        <w:t>打印名：</w:t>
      </w:r>
      <w:r>
        <w:rPr>
          <w:rFonts w:hint="eastAsia" w:ascii="仿宋" w:hAnsi="仿宋" w:eastAsia="仿宋"/>
          <w:color w:val="0000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240" w:lineRule="auto"/>
        <w:ind w:left="0" w:leftChars="0" w:right="0" w:rightChars="0"/>
        <w:jc w:val="both"/>
        <w:textAlignment w:val="auto"/>
        <w:outlineLvl w:val="9"/>
        <w:rPr>
          <w:rFonts w:ascii="仿宋" w:hAnsi="仿宋" w:eastAsia="仿宋"/>
          <w:color w:val="000000"/>
          <w:sz w:val="28"/>
          <w:szCs w:val="28"/>
          <w:u w:val="single"/>
        </w:rPr>
      </w:pPr>
      <w:r>
        <w:rPr>
          <w:rFonts w:hint="eastAsia" w:ascii="仿宋" w:hAnsi="仿宋" w:eastAsia="仿宋"/>
          <w:color w:val="000000"/>
          <w:sz w:val="28"/>
          <w:szCs w:val="28"/>
        </w:rPr>
        <w:t>日期（年/月/日）：</w:t>
      </w:r>
      <w:r>
        <w:rPr>
          <w:rFonts w:hint="eastAsia" w:ascii="仿宋" w:hAnsi="仿宋" w:eastAsia="仿宋"/>
          <w:color w:val="000000"/>
          <w:sz w:val="28"/>
          <w:szCs w:val="28"/>
          <w:u w:val="single"/>
        </w:rPr>
        <w:t xml:space="preserve">                                             </w:t>
      </w: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552" w:firstLineChars="200"/>
        <w:jc w:val="both"/>
        <w:textAlignment w:val="auto"/>
        <w:outlineLvl w:val="9"/>
        <w:rPr>
          <w:rFonts w:ascii="仿宋" w:hAnsi="仿宋" w:eastAsia="仿宋"/>
          <w:b/>
          <w:sz w:val="28"/>
          <w:szCs w:val="28"/>
        </w:rPr>
      </w:pPr>
    </w:p>
    <w:p>
      <w:pPr>
        <w:keepNext w:val="0"/>
        <w:keepLines w:val="0"/>
        <w:pageBreakBefore w:val="0"/>
        <w:widowControl w:val="0"/>
        <w:kinsoku/>
        <w:wordWrap/>
        <w:overflowPunct/>
        <w:topLinePunct w:val="0"/>
        <w:bidi w:val="0"/>
        <w:adjustRightInd/>
        <w:snapToGrid/>
        <w:spacing w:before="0" w:beforeLines="0" w:after="0" w:afterLines="0" w:line="240" w:lineRule="auto"/>
        <w:ind w:left="0" w:leftChars="0" w:right="0" w:rightChars="0" w:firstLine="632" w:firstLineChars="200"/>
        <w:jc w:val="both"/>
        <w:textAlignment w:val="auto"/>
        <w:outlineLvl w:val="9"/>
        <w:rPr>
          <w:rFonts w:ascii="仿宋" w:hAnsi="仿宋" w:eastAsia="仿宋"/>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both"/>
        <w:textAlignment w:val="auto"/>
        <w:outlineLvl w:val="9"/>
        <w:rPr>
          <w:rFonts w:hint="eastAsia" w:ascii="仿宋_GB2312" w:hAnsi="仿宋_GB2312" w:eastAsia="仿宋_GB2312"/>
          <w:b w:val="0"/>
          <w:bCs w:val="0"/>
          <w:snapToGrid/>
          <w:color w:val="000000"/>
          <w:spacing w:val="0"/>
          <w:sz w:val="32"/>
          <w:lang w:val="en-US" w:eastAsia="zh-CN"/>
        </w:rPr>
      </w:pPr>
      <w:bookmarkStart w:id="4" w:name="BKchaosong"/>
      <w:bookmarkEnd w:id="4"/>
    </w:p>
    <w:p/>
    <w:sectPr>
      <w:type w:val="continuous"/>
      <w:pgSz w:w="11906" w:h="16838"/>
      <w:pgMar w:top="2041" w:right="1531" w:bottom="2041" w:left="1531" w:header="851" w:footer="1616" w:gutter="0"/>
      <w:pgNumType w:fmt="decimal"/>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Align="top"/>
      <w:ind w:right="323" w:rightChars="101"/>
    </w:pPr>
    <w:r>
      <w:rPr>
        <w:rFonts w:ascii="Times New Roman" w:hAnsi="Times New Roman"/>
        <w:sz w:val="28"/>
      </w:rPr>
      <w:t xml:space="preserve">—  </w:t>
    </w:r>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rPr>
        <w:rFonts w:ascii="Times New Roman" w:hAnsi="Times New Roman"/>
        <w:sz w:val="28"/>
      </w:rPr>
      <w:t>1</w:t>
    </w:r>
    <w:r>
      <w:rPr>
        <w:rFonts w:ascii="Times New Roman" w:hAnsi="Times New Roman"/>
        <w:sz w:val="28"/>
      </w:rPr>
      <w:fldChar w:fldCharType="end"/>
    </w:r>
    <w:r>
      <w:rPr>
        <w:rFonts w:ascii="Times New Roman" w:hAnsi="Times New Roman"/>
        <w:sz w:val="28"/>
      </w:rPr>
      <w:t xml:space="preserve">  —</w:t>
    </w:r>
    <w:r>
      <w:rPr>
        <w:rFonts w:hint="eastAsia" w:ascii="Times New Roman" w:hAnsi="Times New Roman"/>
        <w:lang w:val="en-US" w:eastAsia="zh-CN"/>
      </w:rPr>
      <w:t xml:space="preserve">   </w:t>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Align="top"/>
      <w:ind w:left="326" w:leftChars="101" w:hanging="3" w:firstLineChars="0"/>
    </w:pPr>
    <w:r>
      <w:rPr>
        <w:rFonts w:ascii="Times New Roman" w:hAnsi="Times New Roman"/>
      </w:rPr>
      <w:t xml:space="preserve">—  </w:t>
    </w:r>
    <w:r>
      <w:rPr>
        <w:rFonts w:ascii="Times New Roman" w:hAnsi="Times New Roman"/>
        <w:sz w:val="28"/>
      </w:rPr>
      <w:fldChar w:fldCharType="begin"/>
    </w:r>
    <w:r>
      <w:rPr>
        <w:rFonts w:ascii="Times New Roman" w:hAnsi="Times New Roman"/>
        <w:sz w:val="28"/>
      </w:rPr>
      <w:instrText xml:space="preserve"> PAGE  </w:instrText>
    </w:r>
    <w:r>
      <w:rPr>
        <w:rFonts w:ascii="Times New Roman" w:hAnsi="Times New Roman"/>
        <w:sz w:val="28"/>
      </w:rPr>
      <w:fldChar w:fldCharType="separate"/>
    </w:r>
    <w:r>
      <w:rPr>
        <w:rFonts w:ascii="Times New Roman" w:hAnsi="Times New Roman"/>
        <w:sz w:val="28"/>
      </w:rPr>
      <w:t>2</w:t>
    </w:r>
    <w:r>
      <w:rPr>
        <w:rFonts w:ascii="Times New Roman" w:hAnsi="Times New Roman"/>
        <w:sz w:val="28"/>
      </w:rPr>
      <w:fldChar w:fldCharType="end"/>
    </w:r>
    <w:r>
      <w:rPr>
        <w:rFonts w:ascii="Times New Roman" w:hAnsi="Times New Roman"/>
      </w:rPr>
      <w:t xml:space="preserve">  —</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2"/>
      <w:numFmt w:val="decimal"/>
      <w:lvlText w:val="%1."/>
      <w:lvlJc w:val="left"/>
      <w:pPr>
        <w:tabs>
          <w:tab w:val="left" w:pos="312"/>
        </w:tabs>
        <w:ind w:left="0" w:firstLine="0"/>
      </w:p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D8405B"/>
    <w:rsid w:val="77D84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仿宋_GB2312" w:cstheme="minorBidi"/>
      <w:snapToGrid w:val="0"/>
      <w:sz w:val="3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2"/>
      <w:sz w:val="18"/>
      <w:szCs w:val="18"/>
    </w:rPr>
  </w:style>
  <w:style w:type="paragraph" w:styleId="3">
    <w:name w:val="Normal (Web)"/>
    <w:basedOn w:val="1"/>
    <w:qFormat/>
    <w:uiPriority w:val="0"/>
    <w:pPr>
      <w:widowControl/>
      <w:spacing w:before="100" w:beforeLines="0" w:beforeAutospacing="1" w:after="100" w:afterLines="0" w:afterAutospacing="1"/>
      <w:jc w:val="left"/>
    </w:pPr>
    <w:rPr>
      <w:rFonts w:ascii="宋体" w:hAnsi="宋体" w:eastAsia="宋体" w:cs="Times New Roman"/>
      <w:kern w:val="0"/>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2019-07-22T07:55:00Z</dcterms:created>
  <dc:creator>滕歌</dc:creator>
  <cp:lastModifiedBy>滕歌</cp:lastModifiedBy>
  <dcterms:modified xsi:type="dcterms:W3CDTF">2019-07-22T07:56:19Z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